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C640C" w14:textId="77777777" w:rsidR="00FC0670" w:rsidRPr="002354DE" w:rsidRDefault="001D39BF" w:rsidP="00CA7BC0">
      <w:pPr>
        <w:rPr>
          <w:rFonts w:cs="Tahoma"/>
        </w:rPr>
      </w:pPr>
      <w:r>
        <w:rPr>
          <w:noProof/>
        </w:rPr>
        <w:drawing>
          <wp:anchor distT="0" distB="0" distL="114300" distR="114300" simplePos="0" relativeHeight="251658240" behindDoc="0" locked="0" layoutInCell="1" allowOverlap="1" wp14:anchorId="6A051A3B" wp14:editId="60CC4703">
            <wp:simplePos x="0" y="0"/>
            <wp:positionH relativeFrom="column">
              <wp:posOffset>-114300</wp:posOffset>
            </wp:positionH>
            <wp:positionV relativeFrom="paragraph">
              <wp:posOffset>-114300</wp:posOffset>
            </wp:positionV>
            <wp:extent cx="1449070" cy="866775"/>
            <wp:effectExtent l="0" t="0" r="0" b="952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070" cy="866775"/>
                    </a:xfrm>
                    <a:prstGeom prst="rect">
                      <a:avLst/>
                    </a:prstGeom>
                    <a:noFill/>
                    <a:ln>
                      <a:noFill/>
                    </a:ln>
                  </pic:spPr>
                </pic:pic>
              </a:graphicData>
            </a:graphic>
          </wp:anchor>
        </w:drawing>
      </w:r>
      <w:r>
        <w:rPr>
          <w:noProof/>
        </w:rPr>
        <w:drawing>
          <wp:anchor distT="0" distB="0" distL="114300" distR="114300" simplePos="0" relativeHeight="251657216" behindDoc="0" locked="0" layoutInCell="1" allowOverlap="1" wp14:anchorId="17CD286A" wp14:editId="34943AAF">
            <wp:simplePos x="0" y="0"/>
            <wp:positionH relativeFrom="column">
              <wp:posOffset>4914900</wp:posOffset>
            </wp:positionH>
            <wp:positionV relativeFrom="paragraph">
              <wp:posOffset>0</wp:posOffset>
            </wp:positionV>
            <wp:extent cx="1483995" cy="600710"/>
            <wp:effectExtent l="0" t="0" r="1905" b="889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3995" cy="600710"/>
                    </a:xfrm>
                    <a:prstGeom prst="rect">
                      <a:avLst/>
                    </a:prstGeom>
                    <a:noFill/>
                    <a:ln>
                      <a:noFill/>
                    </a:ln>
                  </pic:spPr>
                </pic:pic>
              </a:graphicData>
            </a:graphic>
          </wp:anchor>
        </w:drawing>
      </w:r>
      <w:r w:rsidR="002354DE" w:rsidRPr="002354DE">
        <w:rPr>
          <w:rFonts w:cs="Tahoma"/>
        </w:rPr>
        <w:t xml:space="preserve"> </w:t>
      </w:r>
    </w:p>
    <w:p w14:paraId="48D6E49E" w14:textId="77777777" w:rsidR="00CA7BC0" w:rsidRDefault="00CA7BC0" w:rsidP="00CA7BC0">
      <w:pPr>
        <w:rPr>
          <w:rFonts w:cs="Tahoma"/>
        </w:rPr>
      </w:pPr>
    </w:p>
    <w:p w14:paraId="770D6D71" w14:textId="77777777" w:rsidR="002354DE" w:rsidRDefault="002354DE" w:rsidP="00CA7BC0">
      <w:pPr>
        <w:rPr>
          <w:rFonts w:cs="Tahoma"/>
        </w:rPr>
      </w:pPr>
    </w:p>
    <w:p w14:paraId="7AA5E45B" w14:textId="21DD61CB" w:rsidR="00387550" w:rsidRDefault="00387550" w:rsidP="00BC05AA">
      <w:pPr>
        <w:jc w:val="both"/>
        <w:rPr>
          <w:b/>
          <w:bCs/>
          <w:color w:val="5292CC"/>
          <w:sz w:val="36"/>
          <w:szCs w:val="36"/>
        </w:rPr>
      </w:pPr>
      <w:r w:rsidRPr="00387550">
        <w:rPr>
          <w:b/>
          <w:bCs/>
          <w:color w:val="5292CC"/>
          <w:sz w:val="36"/>
          <w:szCs w:val="36"/>
        </w:rPr>
        <w:t>Sporazum CETA je koristen</w:t>
      </w:r>
    </w:p>
    <w:p w14:paraId="1C06BC47" w14:textId="49365DC9" w:rsidR="00BC05AA" w:rsidRDefault="00387550" w:rsidP="00BC05AA">
      <w:pPr>
        <w:jc w:val="both"/>
        <w:rPr>
          <w:rFonts w:cs="Tahoma"/>
          <w:sz w:val="18"/>
          <w:szCs w:val="22"/>
        </w:rPr>
      </w:pPr>
      <w:r>
        <w:rPr>
          <w:rFonts w:cs="Tahoma"/>
          <w:sz w:val="18"/>
          <w:szCs w:val="22"/>
        </w:rPr>
        <w:t>13.10.</w:t>
      </w:r>
      <w:r w:rsidR="00BC05AA" w:rsidRPr="008D08E9">
        <w:rPr>
          <w:rFonts w:cs="Tahoma"/>
          <w:sz w:val="18"/>
          <w:szCs w:val="22"/>
        </w:rPr>
        <w:t>2016</w:t>
      </w:r>
    </w:p>
    <w:p w14:paraId="45485351" w14:textId="583FC8F6" w:rsidR="00B7272F" w:rsidRDefault="00387550" w:rsidP="006A40CD">
      <w:pPr>
        <w:spacing w:before="100" w:beforeAutospacing="1" w:after="100" w:afterAutospacing="1"/>
        <w:jc w:val="both"/>
        <w:rPr>
          <w:b/>
          <w:bCs/>
          <w:i/>
          <w:iCs/>
          <w:sz w:val="22"/>
        </w:rPr>
      </w:pPr>
      <w:r w:rsidRPr="00387550">
        <w:rPr>
          <w:b/>
          <w:bCs/>
          <w:i/>
          <w:iCs/>
          <w:sz w:val="22"/>
        </w:rPr>
        <w:t>Sporazum prinaša manj ovir in nove tržne priložnosti za podjetja, tako neposredno kot tudi posredno prek partnerjev slovenskih podjetij v EU.</w:t>
      </w:r>
      <w:bookmarkStart w:id="0" w:name="_GoBack"/>
      <w:bookmarkEnd w:id="0"/>
    </w:p>
    <w:p w14:paraId="7052B4D9" w14:textId="77777777" w:rsidR="00387550" w:rsidRPr="00387550" w:rsidRDefault="00387550" w:rsidP="00387550">
      <w:pPr>
        <w:spacing w:before="100" w:beforeAutospacing="1" w:after="100" w:afterAutospacing="1"/>
        <w:jc w:val="both"/>
        <w:rPr>
          <w:sz w:val="22"/>
          <w:szCs w:val="22"/>
        </w:rPr>
      </w:pPr>
      <w:r w:rsidRPr="00387550">
        <w:rPr>
          <w:sz w:val="22"/>
          <w:szCs w:val="22"/>
        </w:rPr>
        <w:t>Na GZS podpiramo sklepanje meddržavnih sporazumov, ki zmanjšujejo ovire za mednarodno trgovanje in investicije, seveda ob pogoju, da se spoštuje konkurenčno pravo in ne zmanjšuje evropskih zdravstvenih, okoljskih, varnostnih in drugih standardov.</w:t>
      </w:r>
    </w:p>
    <w:p w14:paraId="2FF0E0DE" w14:textId="2A805664" w:rsidR="00387550" w:rsidRPr="00387550" w:rsidRDefault="00387550" w:rsidP="00387550">
      <w:pPr>
        <w:spacing w:before="100" w:beforeAutospacing="1" w:after="100" w:afterAutospacing="1"/>
        <w:jc w:val="both"/>
        <w:rPr>
          <w:sz w:val="22"/>
          <w:szCs w:val="22"/>
        </w:rPr>
      </w:pPr>
      <w:r w:rsidRPr="00387550">
        <w:rPr>
          <w:sz w:val="22"/>
          <w:szCs w:val="22"/>
        </w:rPr>
        <w:t>Kanada sicer ne sodi med najpomembnejše zunanjetrgovinske partnerice Slovenije, saj je na strani izvoza blaga bila v lanskem letu na 36. me</w:t>
      </w:r>
      <w:r>
        <w:rPr>
          <w:sz w:val="22"/>
          <w:szCs w:val="22"/>
        </w:rPr>
        <w:t>stu, na strani uvoza pa na 42. v</w:t>
      </w:r>
      <w:r w:rsidRPr="00387550">
        <w:rPr>
          <w:sz w:val="22"/>
          <w:szCs w:val="22"/>
        </w:rPr>
        <w:t>endar imajo v globalnem svetu takšni sporazumi velik pomen za gospodarstvo.</w:t>
      </w:r>
    </w:p>
    <w:p w14:paraId="6CC8D399" w14:textId="0F615E24" w:rsidR="00387550" w:rsidRPr="00387550" w:rsidRDefault="00387550" w:rsidP="00387550">
      <w:pPr>
        <w:spacing w:before="100" w:beforeAutospacing="1" w:after="100" w:afterAutospacing="1"/>
        <w:jc w:val="both"/>
        <w:rPr>
          <w:sz w:val="22"/>
          <w:szCs w:val="22"/>
        </w:rPr>
      </w:pPr>
      <w:r w:rsidRPr="00387550">
        <w:rPr>
          <w:sz w:val="22"/>
          <w:szCs w:val="22"/>
        </w:rPr>
        <w:t>Slovensko gospodarstvo je zelo povezano z evropskim, kanadsko pa z ameriškim. Zato so posredni učinki sporazuma za vsa evropska podjetja, s tem pa tudi neposredno in posredno za slovenska, dobrodošli. Olajšan bo dostop do javnih naročil v Kanadi, manj bo tehničnih ovir pri trgovanju.</w:t>
      </w:r>
      <w:r>
        <w:rPr>
          <w:sz w:val="22"/>
          <w:szCs w:val="22"/>
        </w:rPr>
        <w:t xml:space="preserve"> </w:t>
      </w:r>
      <w:r w:rsidRPr="00387550">
        <w:rPr>
          <w:sz w:val="22"/>
          <w:szCs w:val="22"/>
        </w:rPr>
        <w:t>Po oceni Eurochambresa bo trgovinski sporazum EU-Kanada (CETA) povečal poslovanje med EU in Kanado za 23 odstotkov, to pa bo pripomoglo k 2,9 milijarde evrov višjemu bruto domačemu proizvodu Evropske unije. CETA obenem ponuja nove priložnosti podjetjem na trgu, krepi pa tudi konkurenčni položaj evropskih podjetij v celotni Severni Ameriki.</w:t>
      </w:r>
    </w:p>
    <w:p w14:paraId="6F6A7E74" w14:textId="77777777" w:rsidR="00387550" w:rsidRPr="00387550" w:rsidRDefault="00387550" w:rsidP="00387550">
      <w:pPr>
        <w:spacing w:before="100" w:beforeAutospacing="1" w:after="100" w:afterAutospacing="1"/>
        <w:jc w:val="both"/>
        <w:rPr>
          <w:sz w:val="22"/>
          <w:szCs w:val="22"/>
        </w:rPr>
      </w:pPr>
      <w:r w:rsidRPr="00387550">
        <w:rPr>
          <w:sz w:val="22"/>
          <w:szCs w:val="22"/>
        </w:rPr>
        <w:t xml:space="preserve">Po uveljavitvi sporazuma naj bi podjetja iz EU pri izvozu v Kanado plačala pol milijarde evrov manj dajatev, carinski postopki na meji bodo precej bolj preprosti, predstavniki podjetij bodo začasno lahko vstopali v Kanado brez poslovnih delovnih dovoljenj, predviden je tudi postopek za medsebojno priznavanje delovnih in poklicnih kvalifikacij. </w:t>
      </w:r>
    </w:p>
    <w:p w14:paraId="115E6039" w14:textId="77777777" w:rsidR="00387550" w:rsidRPr="00387550" w:rsidRDefault="00387550" w:rsidP="00387550">
      <w:pPr>
        <w:spacing w:before="100" w:beforeAutospacing="1" w:after="100" w:afterAutospacing="1"/>
        <w:jc w:val="both"/>
        <w:rPr>
          <w:sz w:val="22"/>
          <w:szCs w:val="22"/>
        </w:rPr>
      </w:pPr>
      <w:r w:rsidRPr="00387550">
        <w:rPr>
          <w:sz w:val="22"/>
          <w:szCs w:val="22"/>
        </w:rPr>
        <w:t xml:space="preserve">Sporazum odpravlja carine za več kot 99% tarifnih postavk, pri čemer občutljivi kmetijski izdelki v okviru kvot - perutnina in jajca - ne bodo predmet liberalizacije. Znižal bo stroške testiranja proizvodov in pridobivanja produktnih certifikatov za izvoznike. Kanada bo tehnične predpise s področja vozil prilagodila predpisom Združenih narodov (UN/ECE), kar bo znižalo stroške izvoznikom. Znano je, da je slovenska industrija kot razvojna dobaviteljica zelo povezana z evropsko avtomobilsko industrijo, ta pa pomembna izvoznica vozil. </w:t>
      </w:r>
    </w:p>
    <w:p w14:paraId="082CABEF" w14:textId="77777777" w:rsidR="00387550" w:rsidRPr="00387550" w:rsidRDefault="00387550" w:rsidP="00387550">
      <w:pPr>
        <w:spacing w:before="100" w:beforeAutospacing="1" w:after="100" w:afterAutospacing="1"/>
        <w:jc w:val="both"/>
        <w:rPr>
          <w:sz w:val="22"/>
          <w:szCs w:val="22"/>
        </w:rPr>
      </w:pPr>
      <w:r w:rsidRPr="00387550">
        <w:rPr>
          <w:sz w:val="22"/>
          <w:szCs w:val="22"/>
        </w:rPr>
        <w:t xml:space="preserve">Na evropski strani je bilo po zagotovilih ministrstva za gospodarski razvoj in tehnologijo podano izrecno zagotovilo Evropske komisije glede pravice Slovenije, da avtonomno odloči, kako zaščititi ali uporabljati svoje vodne vire. Glede gensko spremenjenih organizmov je dano zagotovilo v izjavi Evropske komisije, ki poudarja tudi previdnostno načelo. </w:t>
      </w:r>
    </w:p>
    <w:p w14:paraId="34CC949D" w14:textId="77777777" w:rsidR="00387550" w:rsidRPr="00387550" w:rsidRDefault="00387550" w:rsidP="00387550">
      <w:pPr>
        <w:spacing w:before="100" w:beforeAutospacing="1" w:after="100" w:afterAutospacing="1"/>
        <w:jc w:val="both"/>
        <w:rPr>
          <w:sz w:val="22"/>
          <w:szCs w:val="22"/>
        </w:rPr>
      </w:pPr>
      <w:r w:rsidRPr="00387550">
        <w:rPr>
          <w:sz w:val="22"/>
          <w:szCs w:val="22"/>
        </w:rPr>
        <w:t xml:space="preserve">V besedilu je tudi eksplicitno predvidena reforma bilateralnega investicijskega sodišča (ICS). Ta reforma naj bi se izvedla, še preden se bo sistem sploh začel uporabljati. ICS ostaja del sporazuma, vendar se določbe ne bodo izvajale začasno, začetek izvajanja določb o reševanju investicijskih sporov je vezan na ratifikacijo v nacionalnih parlamentih. </w:t>
      </w:r>
    </w:p>
    <w:p w14:paraId="276E2BFF" w14:textId="77777777" w:rsidR="00387550" w:rsidRPr="00387550" w:rsidRDefault="00387550" w:rsidP="00387550">
      <w:pPr>
        <w:spacing w:before="100" w:beforeAutospacing="1" w:after="100" w:afterAutospacing="1"/>
        <w:jc w:val="both"/>
        <w:rPr>
          <w:sz w:val="22"/>
          <w:szCs w:val="22"/>
        </w:rPr>
      </w:pPr>
      <w:r w:rsidRPr="00387550">
        <w:rPr>
          <w:sz w:val="22"/>
          <w:szCs w:val="22"/>
        </w:rPr>
        <w:t>Kanada se bo s sporazumom CETA zavezala tudi k ratifikaciji še ne ratificiranih konvencij ILO (International Labour Organization).</w:t>
      </w:r>
    </w:p>
    <w:p w14:paraId="0ADBCC00" w14:textId="6BCA2C5C" w:rsidR="00387550" w:rsidRPr="00387550" w:rsidRDefault="00387550" w:rsidP="00387550">
      <w:pPr>
        <w:spacing w:before="100" w:beforeAutospacing="1" w:after="100" w:afterAutospacing="1"/>
        <w:jc w:val="both"/>
        <w:rPr>
          <w:b/>
          <w:bCs/>
          <w:i/>
          <w:iCs/>
          <w:sz w:val="22"/>
        </w:rPr>
      </w:pPr>
      <w:r w:rsidRPr="00387550">
        <w:rPr>
          <w:b/>
          <w:bCs/>
          <w:i/>
          <w:iCs/>
          <w:sz w:val="22"/>
        </w:rPr>
        <w:t>Mag. Samo Hribar Milič, generalni direktor GZS: »A priori zavračanje trgovinskih sporazumov je lahko vsaj tako nevarno kot njihovo podpiranje, ne da bi pri tem pazili na evropske zdravstvene, okoljske, varnostne in druge standarde.«</w:t>
      </w:r>
    </w:p>
    <w:sectPr w:rsidR="00387550" w:rsidRPr="00387550" w:rsidSect="00D144D0">
      <w:pgSz w:w="11906" w:h="16838"/>
      <w:pgMar w:top="899" w:right="1106" w:bottom="900" w:left="900" w:header="708" w:footer="708" w:gutter="0"/>
      <w:pgBorders w:offsetFrom="page">
        <w:top w:val="single" w:sz="4" w:space="24" w:color="5091CD"/>
        <w:left w:val="single" w:sz="4" w:space="24" w:color="5091CD"/>
        <w:bottom w:val="single" w:sz="4" w:space="24" w:color="5091CD"/>
        <w:right w:val="single" w:sz="4" w:space="24" w:color="5091CD"/>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C517B" w14:textId="77777777" w:rsidR="000A5289" w:rsidRDefault="000A5289">
      <w:r>
        <w:separator/>
      </w:r>
    </w:p>
  </w:endnote>
  <w:endnote w:type="continuationSeparator" w:id="0">
    <w:p w14:paraId="5D944A02" w14:textId="77777777" w:rsidR="000A5289" w:rsidRDefault="000A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ource Sans Pro Light">
    <w:altName w:val="Corbel"/>
    <w:panose1 w:val="00000000000000000000"/>
    <w:charset w:val="00"/>
    <w:family w:val="swiss"/>
    <w:notTrueType/>
    <w:pitch w:val="variable"/>
    <w:sig w:usb0="00000001" w:usb1="00000001"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744F6" w14:textId="77777777" w:rsidR="000A5289" w:rsidRDefault="000A5289">
      <w:r>
        <w:separator/>
      </w:r>
    </w:p>
  </w:footnote>
  <w:footnote w:type="continuationSeparator" w:id="0">
    <w:p w14:paraId="38F3D29C" w14:textId="77777777" w:rsidR="000A5289" w:rsidRDefault="000A52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B50"/>
    <w:multiLevelType w:val="hybridMultilevel"/>
    <w:tmpl w:val="512C56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C776BD"/>
    <w:multiLevelType w:val="hybridMultilevel"/>
    <w:tmpl w:val="FD7AFC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7A1E74"/>
    <w:multiLevelType w:val="hybridMultilevel"/>
    <w:tmpl w:val="6840E9C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181F1262"/>
    <w:multiLevelType w:val="hybridMultilevel"/>
    <w:tmpl w:val="C49ADA90"/>
    <w:lvl w:ilvl="0" w:tplc="A53C849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85528D4"/>
    <w:multiLevelType w:val="hybridMultilevel"/>
    <w:tmpl w:val="11F407EC"/>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15:restartNumberingAfterBreak="0">
    <w:nsid w:val="20B457EC"/>
    <w:multiLevelType w:val="hybridMultilevel"/>
    <w:tmpl w:val="6D2000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994415C"/>
    <w:multiLevelType w:val="hybridMultilevel"/>
    <w:tmpl w:val="759085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7271A65"/>
    <w:multiLevelType w:val="hybridMultilevel"/>
    <w:tmpl w:val="1E82B940"/>
    <w:lvl w:ilvl="0" w:tplc="B8DAF57C">
      <w:numFmt w:val="bullet"/>
      <w:lvlText w:val="•"/>
      <w:lvlJc w:val="left"/>
      <w:pPr>
        <w:ind w:left="705" w:hanging="705"/>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BC06E48"/>
    <w:multiLevelType w:val="hybridMultilevel"/>
    <w:tmpl w:val="FA0C4F7C"/>
    <w:lvl w:ilvl="0" w:tplc="8B780758">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2EF10FC"/>
    <w:multiLevelType w:val="hybridMultilevel"/>
    <w:tmpl w:val="9C341F00"/>
    <w:lvl w:ilvl="0" w:tplc="04240001">
      <w:start w:val="1"/>
      <w:numFmt w:val="bullet"/>
      <w:lvlText w:val=""/>
      <w:lvlJc w:val="left"/>
      <w:pPr>
        <w:tabs>
          <w:tab w:val="num" w:pos="3240"/>
        </w:tabs>
        <w:ind w:left="3240" w:hanging="360"/>
      </w:pPr>
      <w:rPr>
        <w:rFonts w:ascii="Symbol" w:hAnsi="Symbol" w:hint="default"/>
      </w:rPr>
    </w:lvl>
    <w:lvl w:ilvl="1" w:tplc="04240003" w:tentative="1">
      <w:start w:val="1"/>
      <w:numFmt w:val="bullet"/>
      <w:lvlText w:val="o"/>
      <w:lvlJc w:val="left"/>
      <w:pPr>
        <w:tabs>
          <w:tab w:val="num" w:pos="3960"/>
        </w:tabs>
        <w:ind w:left="3960" w:hanging="360"/>
      </w:pPr>
      <w:rPr>
        <w:rFonts w:ascii="Courier New" w:hAnsi="Courier New" w:cs="Courier New" w:hint="default"/>
      </w:rPr>
    </w:lvl>
    <w:lvl w:ilvl="2" w:tplc="04240005" w:tentative="1">
      <w:start w:val="1"/>
      <w:numFmt w:val="bullet"/>
      <w:lvlText w:val=""/>
      <w:lvlJc w:val="left"/>
      <w:pPr>
        <w:tabs>
          <w:tab w:val="num" w:pos="4680"/>
        </w:tabs>
        <w:ind w:left="4680" w:hanging="360"/>
      </w:pPr>
      <w:rPr>
        <w:rFonts w:ascii="Wingdings" w:hAnsi="Wingdings" w:hint="default"/>
      </w:rPr>
    </w:lvl>
    <w:lvl w:ilvl="3" w:tplc="04240001" w:tentative="1">
      <w:start w:val="1"/>
      <w:numFmt w:val="bullet"/>
      <w:lvlText w:val=""/>
      <w:lvlJc w:val="left"/>
      <w:pPr>
        <w:tabs>
          <w:tab w:val="num" w:pos="5400"/>
        </w:tabs>
        <w:ind w:left="5400" w:hanging="360"/>
      </w:pPr>
      <w:rPr>
        <w:rFonts w:ascii="Symbol" w:hAnsi="Symbol" w:hint="default"/>
      </w:rPr>
    </w:lvl>
    <w:lvl w:ilvl="4" w:tplc="04240003" w:tentative="1">
      <w:start w:val="1"/>
      <w:numFmt w:val="bullet"/>
      <w:lvlText w:val="o"/>
      <w:lvlJc w:val="left"/>
      <w:pPr>
        <w:tabs>
          <w:tab w:val="num" w:pos="6120"/>
        </w:tabs>
        <w:ind w:left="6120" w:hanging="360"/>
      </w:pPr>
      <w:rPr>
        <w:rFonts w:ascii="Courier New" w:hAnsi="Courier New" w:cs="Courier New" w:hint="default"/>
      </w:rPr>
    </w:lvl>
    <w:lvl w:ilvl="5" w:tplc="04240005" w:tentative="1">
      <w:start w:val="1"/>
      <w:numFmt w:val="bullet"/>
      <w:lvlText w:val=""/>
      <w:lvlJc w:val="left"/>
      <w:pPr>
        <w:tabs>
          <w:tab w:val="num" w:pos="6840"/>
        </w:tabs>
        <w:ind w:left="6840" w:hanging="360"/>
      </w:pPr>
      <w:rPr>
        <w:rFonts w:ascii="Wingdings" w:hAnsi="Wingdings" w:hint="default"/>
      </w:rPr>
    </w:lvl>
    <w:lvl w:ilvl="6" w:tplc="04240001" w:tentative="1">
      <w:start w:val="1"/>
      <w:numFmt w:val="bullet"/>
      <w:lvlText w:val=""/>
      <w:lvlJc w:val="left"/>
      <w:pPr>
        <w:tabs>
          <w:tab w:val="num" w:pos="7560"/>
        </w:tabs>
        <w:ind w:left="7560" w:hanging="360"/>
      </w:pPr>
      <w:rPr>
        <w:rFonts w:ascii="Symbol" w:hAnsi="Symbol" w:hint="default"/>
      </w:rPr>
    </w:lvl>
    <w:lvl w:ilvl="7" w:tplc="04240003" w:tentative="1">
      <w:start w:val="1"/>
      <w:numFmt w:val="bullet"/>
      <w:lvlText w:val="o"/>
      <w:lvlJc w:val="left"/>
      <w:pPr>
        <w:tabs>
          <w:tab w:val="num" w:pos="8280"/>
        </w:tabs>
        <w:ind w:left="8280" w:hanging="360"/>
      </w:pPr>
      <w:rPr>
        <w:rFonts w:ascii="Courier New" w:hAnsi="Courier New" w:cs="Courier New" w:hint="default"/>
      </w:rPr>
    </w:lvl>
    <w:lvl w:ilvl="8" w:tplc="04240005" w:tentative="1">
      <w:start w:val="1"/>
      <w:numFmt w:val="bullet"/>
      <w:lvlText w:val=""/>
      <w:lvlJc w:val="left"/>
      <w:pPr>
        <w:tabs>
          <w:tab w:val="num" w:pos="9000"/>
        </w:tabs>
        <w:ind w:left="9000" w:hanging="360"/>
      </w:pPr>
      <w:rPr>
        <w:rFonts w:ascii="Wingdings" w:hAnsi="Wingdings" w:hint="default"/>
      </w:rPr>
    </w:lvl>
  </w:abstractNum>
  <w:abstractNum w:abstractNumId="10" w15:restartNumberingAfterBreak="0">
    <w:nsid w:val="46FA20D0"/>
    <w:multiLevelType w:val="hybridMultilevel"/>
    <w:tmpl w:val="E35CC6CC"/>
    <w:lvl w:ilvl="0" w:tplc="B4F240EE">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95B72DD"/>
    <w:multiLevelType w:val="hybridMultilevel"/>
    <w:tmpl w:val="4B0A404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506C1640"/>
    <w:multiLevelType w:val="hybridMultilevel"/>
    <w:tmpl w:val="8DA0E0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5DD4B44"/>
    <w:multiLevelType w:val="hybridMultilevel"/>
    <w:tmpl w:val="5F7216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A5477D"/>
    <w:multiLevelType w:val="hybridMultilevel"/>
    <w:tmpl w:val="D6307C68"/>
    <w:lvl w:ilvl="0" w:tplc="E4064E94">
      <w:start w:val="6"/>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9BC3CD2"/>
    <w:multiLevelType w:val="hybridMultilevel"/>
    <w:tmpl w:val="F6188204"/>
    <w:lvl w:ilvl="0" w:tplc="11A2DC66">
      <w:start w:val="1"/>
      <w:numFmt w:val="decimal"/>
      <w:lvlText w:val="%1."/>
      <w:lvlJc w:val="left"/>
      <w:pPr>
        <w:ind w:left="720" w:hanging="360"/>
      </w:pPr>
      <w:rPr>
        <w:rFonts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B4F3307"/>
    <w:multiLevelType w:val="hybridMultilevel"/>
    <w:tmpl w:val="53DED9D0"/>
    <w:lvl w:ilvl="0" w:tplc="04240001">
      <w:start w:val="1"/>
      <w:numFmt w:val="bullet"/>
      <w:lvlText w:val=""/>
      <w:lvlJc w:val="left"/>
      <w:pPr>
        <w:ind w:left="720" w:hanging="360"/>
      </w:pPr>
      <w:rPr>
        <w:rFonts w:ascii="Symbol" w:hAnsi="Symbol" w:hint="default"/>
      </w:rPr>
    </w:lvl>
    <w:lvl w:ilvl="1" w:tplc="EE4C8A08">
      <w:start w:val="3"/>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02B261C"/>
    <w:multiLevelType w:val="hybridMultilevel"/>
    <w:tmpl w:val="4EACB264"/>
    <w:lvl w:ilvl="0" w:tplc="B4F240EE">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61C17359"/>
    <w:multiLevelType w:val="hybridMultilevel"/>
    <w:tmpl w:val="BD2E17E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69774F7"/>
    <w:multiLevelType w:val="hybridMultilevel"/>
    <w:tmpl w:val="2D4E9960"/>
    <w:lvl w:ilvl="0" w:tplc="A1C6A4B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9DC6488"/>
    <w:multiLevelType w:val="hybridMultilevel"/>
    <w:tmpl w:val="C60E7D74"/>
    <w:lvl w:ilvl="0" w:tplc="120EDFD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6F6A0356"/>
    <w:multiLevelType w:val="hybridMultilevel"/>
    <w:tmpl w:val="3A8A46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12F5A5A"/>
    <w:multiLevelType w:val="hybridMultilevel"/>
    <w:tmpl w:val="56543F52"/>
    <w:lvl w:ilvl="0" w:tplc="05584098">
      <w:start w:val="5"/>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EC05874"/>
    <w:multiLevelType w:val="hybridMultilevel"/>
    <w:tmpl w:val="3D4858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F0E0C9A"/>
    <w:multiLevelType w:val="hybridMultilevel"/>
    <w:tmpl w:val="B434AAE8"/>
    <w:lvl w:ilvl="0" w:tplc="AB7C290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0"/>
  </w:num>
  <w:num w:numId="4">
    <w:abstractNumId w:val="4"/>
  </w:num>
  <w:num w:numId="5">
    <w:abstractNumId w:val="18"/>
  </w:num>
  <w:num w:numId="6">
    <w:abstractNumId w:val="16"/>
  </w:num>
  <w:num w:numId="7">
    <w:abstractNumId w:val="0"/>
  </w:num>
  <w:num w:numId="8">
    <w:abstractNumId w:val="5"/>
  </w:num>
  <w:num w:numId="9">
    <w:abstractNumId w:val="1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1"/>
  </w:num>
  <w:num w:numId="14">
    <w:abstractNumId w:val="23"/>
  </w:num>
  <w:num w:numId="15">
    <w:abstractNumId w:val="8"/>
  </w:num>
  <w:num w:numId="16">
    <w:abstractNumId w:val="22"/>
  </w:num>
  <w:num w:numId="17">
    <w:abstractNumId w:val="2"/>
  </w:num>
  <w:num w:numId="18">
    <w:abstractNumId w:val="3"/>
  </w:num>
  <w:num w:numId="19">
    <w:abstractNumId w:val="14"/>
  </w:num>
  <w:num w:numId="20">
    <w:abstractNumId w:val="1"/>
  </w:num>
  <w:num w:numId="21">
    <w:abstractNumId w:val="17"/>
  </w:num>
  <w:num w:numId="22">
    <w:abstractNumId w:val="10"/>
  </w:num>
  <w:num w:numId="23">
    <w:abstractNumId w:val="24"/>
  </w:num>
  <w:num w:numId="24">
    <w:abstractNumId w:val="7"/>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C0"/>
    <w:rsid w:val="00000756"/>
    <w:rsid w:val="000175BF"/>
    <w:rsid w:val="000179F0"/>
    <w:rsid w:val="000209F7"/>
    <w:rsid w:val="00022DC9"/>
    <w:rsid w:val="0004298A"/>
    <w:rsid w:val="00044905"/>
    <w:rsid w:val="000456BA"/>
    <w:rsid w:val="00065D85"/>
    <w:rsid w:val="00074716"/>
    <w:rsid w:val="0007798F"/>
    <w:rsid w:val="00092806"/>
    <w:rsid w:val="00093C41"/>
    <w:rsid w:val="000A3172"/>
    <w:rsid w:val="000A5289"/>
    <w:rsid w:val="000B1DCB"/>
    <w:rsid w:val="000B3386"/>
    <w:rsid w:val="000B393A"/>
    <w:rsid w:val="000B6F3C"/>
    <w:rsid w:val="000C126F"/>
    <w:rsid w:val="000C3A72"/>
    <w:rsid w:val="000D5850"/>
    <w:rsid w:val="000D71BE"/>
    <w:rsid w:val="000D7448"/>
    <w:rsid w:val="000E3519"/>
    <w:rsid w:val="000E472D"/>
    <w:rsid w:val="000F0679"/>
    <w:rsid w:val="001008DF"/>
    <w:rsid w:val="0010164E"/>
    <w:rsid w:val="00103CE2"/>
    <w:rsid w:val="0011683D"/>
    <w:rsid w:val="00122345"/>
    <w:rsid w:val="001238D9"/>
    <w:rsid w:val="00125455"/>
    <w:rsid w:val="00126461"/>
    <w:rsid w:val="00127869"/>
    <w:rsid w:val="001372C5"/>
    <w:rsid w:val="001548DE"/>
    <w:rsid w:val="00161F87"/>
    <w:rsid w:val="00166840"/>
    <w:rsid w:val="00166B1F"/>
    <w:rsid w:val="00167D1A"/>
    <w:rsid w:val="001747EA"/>
    <w:rsid w:val="00175F68"/>
    <w:rsid w:val="001815BD"/>
    <w:rsid w:val="00185323"/>
    <w:rsid w:val="001876AD"/>
    <w:rsid w:val="001A1FA4"/>
    <w:rsid w:val="001A54BC"/>
    <w:rsid w:val="001B76DF"/>
    <w:rsid w:val="001B7873"/>
    <w:rsid w:val="001C1039"/>
    <w:rsid w:val="001D0ABB"/>
    <w:rsid w:val="001D39BF"/>
    <w:rsid w:val="001D52A2"/>
    <w:rsid w:val="001D5E2C"/>
    <w:rsid w:val="001E71BB"/>
    <w:rsid w:val="001F12C5"/>
    <w:rsid w:val="001F49C7"/>
    <w:rsid w:val="001F55DF"/>
    <w:rsid w:val="001F6AEF"/>
    <w:rsid w:val="00207C9D"/>
    <w:rsid w:val="00225FB2"/>
    <w:rsid w:val="0022792F"/>
    <w:rsid w:val="00230920"/>
    <w:rsid w:val="002354DE"/>
    <w:rsid w:val="00236C8A"/>
    <w:rsid w:val="00244C33"/>
    <w:rsid w:val="00266D71"/>
    <w:rsid w:val="00280DF0"/>
    <w:rsid w:val="002842EE"/>
    <w:rsid w:val="00290B0A"/>
    <w:rsid w:val="002A6BF2"/>
    <w:rsid w:val="002B3C42"/>
    <w:rsid w:val="002D6454"/>
    <w:rsid w:val="002E608E"/>
    <w:rsid w:val="002E7203"/>
    <w:rsid w:val="0030310E"/>
    <w:rsid w:val="00303C62"/>
    <w:rsid w:val="003044D1"/>
    <w:rsid w:val="00311763"/>
    <w:rsid w:val="00311EBC"/>
    <w:rsid w:val="00326716"/>
    <w:rsid w:val="00333602"/>
    <w:rsid w:val="00334FEF"/>
    <w:rsid w:val="00344E94"/>
    <w:rsid w:val="003504C8"/>
    <w:rsid w:val="00353BDD"/>
    <w:rsid w:val="00373AA3"/>
    <w:rsid w:val="00375CE0"/>
    <w:rsid w:val="00380BD6"/>
    <w:rsid w:val="00380F6C"/>
    <w:rsid w:val="00387550"/>
    <w:rsid w:val="003A3E59"/>
    <w:rsid w:val="003C10D8"/>
    <w:rsid w:val="003D1D5E"/>
    <w:rsid w:val="003D2F52"/>
    <w:rsid w:val="003D62BC"/>
    <w:rsid w:val="003E000B"/>
    <w:rsid w:val="003E2F2E"/>
    <w:rsid w:val="003E60AC"/>
    <w:rsid w:val="003E7125"/>
    <w:rsid w:val="003F291A"/>
    <w:rsid w:val="003F39FE"/>
    <w:rsid w:val="003F3FF7"/>
    <w:rsid w:val="003F49D4"/>
    <w:rsid w:val="00400289"/>
    <w:rsid w:val="00403162"/>
    <w:rsid w:val="00414055"/>
    <w:rsid w:val="00423CCB"/>
    <w:rsid w:val="004258EA"/>
    <w:rsid w:val="00426FD6"/>
    <w:rsid w:val="004276F4"/>
    <w:rsid w:val="00431F63"/>
    <w:rsid w:val="0043317A"/>
    <w:rsid w:val="004370F3"/>
    <w:rsid w:val="00441580"/>
    <w:rsid w:val="004443BC"/>
    <w:rsid w:val="00453877"/>
    <w:rsid w:val="00454E7A"/>
    <w:rsid w:val="00455151"/>
    <w:rsid w:val="00475864"/>
    <w:rsid w:val="00475B9D"/>
    <w:rsid w:val="00482A49"/>
    <w:rsid w:val="004B5D88"/>
    <w:rsid w:val="004B7A8A"/>
    <w:rsid w:val="004B7FEF"/>
    <w:rsid w:val="004C35B4"/>
    <w:rsid w:val="004C7458"/>
    <w:rsid w:val="004D1273"/>
    <w:rsid w:val="004D1AFB"/>
    <w:rsid w:val="004E0473"/>
    <w:rsid w:val="004E3C5C"/>
    <w:rsid w:val="004F5AE6"/>
    <w:rsid w:val="004F6D13"/>
    <w:rsid w:val="00502CF0"/>
    <w:rsid w:val="005111FE"/>
    <w:rsid w:val="00520D01"/>
    <w:rsid w:val="005354F5"/>
    <w:rsid w:val="0054103D"/>
    <w:rsid w:val="00544BBC"/>
    <w:rsid w:val="0054666C"/>
    <w:rsid w:val="00552296"/>
    <w:rsid w:val="005633A9"/>
    <w:rsid w:val="00565B8F"/>
    <w:rsid w:val="00566461"/>
    <w:rsid w:val="00572C44"/>
    <w:rsid w:val="00577C82"/>
    <w:rsid w:val="00587E03"/>
    <w:rsid w:val="005A0948"/>
    <w:rsid w:val="005A1590"/>
    <w:rsid w:val="005A5B0C"/>
    <w:rsid w:val="005A6653"/>
    <w:rsid w:val="005A7B44"/>
    <w:rsid w:val="005B2206"/>
    <w:rsid w:val="005B4D94"/>
    <w:rsid w:val="005B5E34"/>
    <w:rsid w:val="005C3F39"/>
    <w:rsid w:val="005D06CF"/>
    <w:rsid w:val="005D0757"/>
    <w:rsid w:val="005D42C2"/>
    <w:rsid w:val="005D5E4A"/>
    <w:rsid w:val="005D7211"/>
    <w:rsid w:val="005D7249"/>
    <w:rsid w:val="005E0F90"/>
    <w:rsid w:val="005E27AC"/>
    <w:rsid w:val="005F245A"/>
    <w:rsid w:val="005F6CB3"/>
    <w:rsid w:val="00602BB1"/>
    <w:rsid w:val="00613D4E"/>
    <w:rsid w:val="006254DF"/>
    <w:rsid w:val="00634C1F"/>
    <w:rsid w:val="00635371"/>
    <w:rsid w:val="0064734A"/>
    <w:rsid w:val="006528E9"/>
    <w:rsid w:val="0066281D"/>
    <w:rsid w:val="00673C3B"/>
    <w:rsid w:val="00673F67"/>
    <w:rsid w:val="00677580"/>
    <w:rsid w:val="00690012"/>
    <w:rsid w:val="00693335"/>
    <w:rsid w:val="006A3C16"/>
    <w:rsid w:val="006A40CD"/>
    <w:rsid w:val="006A57DC"/>
    <w:rsid w:val="006B1BD8"/>
    <w:rsid w:val="006B28CD"/>
    <w:rsid w:val="006B2926"/>
    <w:rsid w:val="006B3229"/>
    <w:rsid w:val="006B441D"/>
    <w:rsid w:val="006B46C7"/>
    <w:rsid w:val="006B58D6"/>
    <w:rsid w:val="006C058B"/>
    <w:rsid w:val="006C3F14"/>
    <w:rsid w:val="006C6B19"/>
    <w:rsid w:val="006D6707"/>
    <w:rsid w:val="006D79F4"/>
    <w:rsid w:val="006E2747"/>
    <w:rsid w:val="006E496E"/>
    <w:rsid w:val="006E57EB"/>
    <w:rsid w:val="006F09C9"/>
    <w:rsid w:val="006F1F66"/>
    <w:rsid w:val="007017E5"/>
    <w:rsid w:val="00705ABD"/>
    <w:rsid w:val="00706D9A"/>
    <w:rsid w:val="00707017"/>
    <w:rsid w:val="00707981"/>
    <w:rsid w:val="00713DBA"/>
    <w:rsid w:val="00722151"/>
    <w:rsid w:val="00726468"/>
    <w:rsid w:val="0073176E"/>
    <w:rsid w:val="00734778"/>
    <w:rsid w:val="00737123"/>
    <w:rsid w:val="00741971"/>
    <w:rsid w:val="00742437"/>
    <w:rsid w:val="007433D8"/>
    <w:rsid w:val="00743544"/>
    <w:rsid w:val="00753346"/>
    <w:rsid w:val="00753F7D"/>
    <w:rsid w:val="00757F91"/>
    <w:rsid w:val="0076435D"/>
    <w:rsid w:val="00765157"/>
    <w:rsid w:val="00767016"/>
    <w:rsid w:val="007701B1"/>
    <w:rsid w:val="00771728"/>
    <w:rsid w:val="00772094"/>
    <w:rsid w:val="00790991"/>
    <w:rsid w:val="00791194"/>
    <w:rsid w:val="007915B2"/>
    <w:rsid w:val="0079469A"/>
    <w:rsid w:val="007A444C"/>
    <w:rsid w:val="007B28D3"/>
    <w:rsid w:val="007B3314"/>
    <w:rsid w:val="007C5111"/>
    <w:rsid w:val="007D0875"/>
    <w:rsid w:val="007E18B0"/>
    <w:rsid w:val="007E332A"/>
    <w:rsid w:val="007F2861"/>
    <w:rsid w:val="00807CD2"/>
    <w:rsid w:val="008420C7"/>
    <w:rsid w:val="0084360D"/>
    <w:rsid w:val="00846057"/>
    <w:rsid w:val="00847582"/>
    <w:rsid w:val="00855AB6"/>
    <w:rsid w:val="008567A0"/>
    <w:rsid w:val="00862E1C"/>
    <w:rsid w:val="00866B16"/>
    <w:rsid w:val="008757DA"/>
    <w:rsid w:val="00881A01"/>
    <w:rsid w:val="00886111"/>
    <w:rsid w:val="00886E17"/>
    <w:rsid w:val="00893BEE"/>
    <w:rsid w:val="008A0972"/>
    <w:rsid w:val="008A0DFE"/>
    <w:rsid w:val="008A1505"/>
    <w:rsid w:val="008A2608"/>
    <w:rsid w:val="008A2C3D"/>
    <w:rsid w:val="008A573F"/>
    <w:rsid w:val="008B62A5"/>
    <w:rsid w:val="008B7F76"/>
    <w:rsid w:val="008C2DA9"/>
    <w:rsid w:val="008C40F1"/>
    <w:rsid w:val="008D08E9"/>
    <w:rsid w:val="008D3679"/>
    <w:rsid w:val="008D57F9"/>
    <w:rsid w:val="008D614C"/>
    <w:rsid w:val="008F32DB"/>
    <w:rsid w:val="008F41BA"/>
    <w:rsid w:val="008F7048"/>
    <w:rsid w:val="009007C6"/>
    <w:rsid w:val="00903A3C"/>
    <w:rsid w:val="00905F86"/>
    <w:rsid w:val="0091163E"/>
    <w:rsid w:val="00917754"/>
    <w:rsid w:val="00935857"/>
    <w:rsid w:val="00943A8B"/>
    <w:rsid w:val="009467D0"/>
    <w:rsid w:val="009502A3"/>
    <w:rsid w:val="00951E50"/>
    <w:rsid w:val="00965271"/>
    <w:rsid w:val="00973667"/>
    <w:rsid w:val="009803AF"/>
    <w:rsid w:val="009815E0"/>
    <w:rsid w:val="009838AC"/>
    <w:rsid w:val="00984416"/>
    <w:rsid w:val="0098746F"/>
    <w:rsid w:val="00995E41"/>
    <w:rsid w:val="0099672D"/>
    <w:rsid w:val="009A52FE"/>
    <w:rsid w:val="009B213A"/>
    <w:rsid w:val="009D3848"/>
    <w:rsid w:val="009E0911"/>
    <w:rsid w:val="009E44EA"/>
    <w:rsid w:val="009F4172"/>
    <w:rsid w:val="00A06AE8"/>
    <w:rsid w:val="00A203D7"/>
    <w:rsid w:val="00A34FB5"/>
    <w:rsid w:val="00A409CA"/>
    <w:rsid w:val="00A428B0"/>
    <w:rsid w:val="00A47924"/>
    <w:rsid w:val="00A50E64"/>
    <w:rsid w:val="00A51DA2"/>
    <w:rsid w:val="00A607C2"/>
    <w:rsid w:val="00A649B9"/>
    <w:rsid w:val="00A71BCF"/>
    <w:rsid w:val="00A72AEA"/>
    <w:rsid w:val="00A77B1D"/>
    <w:rsid w:val="00A80660"/>
    <w:rsid w:val="00A86DDA"/>
    <w:rsid w:val="00A8736C"/>
    <w:rsid w:val="00A90747"/>
    <w:rsid w:val="00A969CC"/>
    <w:rsid w:val="00A97204"/>
    <w:rsid w:val="00AA5EDF"/>
    <w:rsid w:val="00AB52CE"/>
    <w:rsid w:val="00AB680F"/>
    <w:rsid w:val="00AC465F"/>
    <w:rsid w:val="00AC4753"/>
    <w:rsid w:val="00AC5B82"/>
    <w:rsid w:val="00AD7326"/>
    <w:rsid w:val="00AD7F36"/>
    <w:rsid w:val="00AF69CE"/>
    <w:rsid w:val="00B01757"/>
    <w:rsid w:val="00B12B85"/>
    <w:rsid w:val="00B14238"/>
    <w:rsid w:val="00B224E0"/>
    <w:rsid w:val="00B320A2"/>
    <w:rsid w:val="00B35830"/>
    <w:rsid w:val="00B44054"/>
    <w:rsid w:val="00B46E5A"/>
    <w:rsid w:val="00B530C8"/>
    <w:rsid w:val="00B7272F"/>
    <w:rsid w:val="00B82B99"/>
    <w:rsid w:val="00B84555"/>
    <w:rsid w:val="00B857F1"/>
    <w:rsid w:val="00B86E08"/>
    <w:rsid w:val="00B926A8"/>
    <w:rsid w:val="00B92B86"/>
    <w:rsid w:val="00BA41E6"/>
    <w:rsid w:val="00BA59E0"/>
    <w:rsid w:val="00BB1E13"/>
    <w:rsid w:val="00BB2315"/>
    <w:rsid w:val="00BB39B7"/>
    <w:rsid w:val="00BB48AC"/>
    <w:rsid w:val="00BB5782"/>
    <w:rsid w:val="00BB6D29"/>
    <w:rsid w:val="00BC05AA"/>
    <w:rsid w:val="00BD1C0E"/>
    <w:rsid w:val="00BD3C5D"/>
    <w:rsid w:val="00BE5AA3"/>
    <w:rsid w:val="00BE5E14"/>
    <w:rsid w:val="00C04227"/>
    <w:rsid w:val="00C0497D"/>
    <w:rsid w:val="00C21898"/>
    <w:rsid w:val="00C26F08"/>
    <w:rsid w:val="00C40ED3"/>
    <w:rsid w:val="00C47249"/>
    <w:rsid w:val="00C52B83"/>
    <w:rsid w:val="00C56E53"/>
    <w:rsid w:val="00C77144"/>
    <w:rsid w:val="00C774BB"/>
    <w:rsid w:val="00C820A8"/>
    <w:rsid w:val="00C85D84"/>
    <w:rsid w:val="00C90DA0"/>
    <w:rsid w:val="00CA7BC0"/>
    <w:rsid w:val="00CC1DFC"/>
    <w:rsid w:val="00CC6090"/>
    <w:rsid w:val="00CD1598"/>
    <w:rsid w:val="00CE1DDA"/>
    <w:rsid w:val="00CE5B5C"/>
    <w:rsid w:val="00D07C3C"/>
    <w:rsid w:val="00D11741"/>
    <w:rsid w:val="00D12896"/>
    <w:rsid w:val="00D144D0"/>
    <w:rsid w:val="00D208B4"/>
    <w:rsid w:val="00D27307"/>
    <w:rsid w:val="00D33DBF"/>
    <w:rsid w:val="00D43CB4"/>
    <w:rsid w:val="00D50DC9"/>
    <w:rsid w:val="00D90A83"/>
    <w:rsid w:val="00D97D9C"/>
    <w:rsid w:val="00DA37AF"/>
    <w:rsid w:val="00DA4C47"/>
    <w:rsid w:val="00DB1963"/>
    <w:rsid w:val="00DB3C25"/>
    <w:rsid w:val="00DB4DC7"/>
    <w:rsid w:val="00DC3886"/>
    <w:rsid w:val="00DC7BE7"/>
    <w:rsid w:val="00DD003F"/>
    <w:rsid w:val="00DD445F"/>
    <w:rsid w:val="00DD4E37"/>
    <w:rsid w:val="00DE663A"/>
    <w:rsid w:val="00E05071"/>
    <w:rsid w:val="00E06FD9"/>
    <w:rsid w:val="00E10398"/>
    <w:rsid w:val="00E12A31"/>
    <w:rsid w:val="00E14188"/>
    <w:rsid w:val="00E225AA"/>
    <w:rsid w:val="00E26C5D"/>
    <w:rsid w:val="00E26D60"/>
    <w:rsid w:val="00E27C16"/>
    <w:rsid w:val="00E31654"/>
    <w:rsid w:val="00E34669"/>
    <w:rsid w:val="00E34683"/>
    <w:rsid w:val="00E3672B"/>
    <w:rsid w:val="00E419F5"/>
    <w:rsid w:val="00E45FC0"/>
    <w:rsid w:val="00E522AE"/>
    <w:rsid w:val="00E63509"/>
    <w:rsid w:val="00E77940"/>
    <w:rsid w:val="00E80680"/>
    <w:rsid w:val="00E84D01"/>
    <w:rsid w:val="00E866E8"/>
    <w:rsid w:val="00EB2A60"/>
    <w:rsid w:val="00EB724A"/>
    <w:rsid w:val="00EE600D"/>
    <w:rsid w:val="00EF6D7E"/>
    <w:rsid w:val="00F0580F"/>
    <w:rsid w:val="00F4017A"/>
    <w:rsid w:val="00F42398"/>
    <w:rsid w:val="00F51F24"/>
    <w:rsid w:val="00F538BB"/>
    <w:rsid w:val="00F61FCA"/>
    <w:rsid w:val="00F6500A"/>
    <w:rsid w:val="00F66334"/>
    <w:rsid w:val="00F72B3D"/>
    <w:rsid w:val="00F74FDC"/>
    <w:rsid w:val="00F77FB9"/>
    <w:rsid w:val="00F82495"/>
    <w:rsid w:val="00F82AFE"/>
    <w:rsid w:val="00F94DD2"/>
    <w:rsid w:val="00FA5CBE"/>
    <w:rsid w:val="00FB0B86"/>
    <w:rsid w:val="00FC0670"/>
    <w:rsid w:val="00FC3A57"/>
    <w:rsid w:val="00FC5CBF"/>
    <w:rsid w:val="00FD720E"/>
    <w:rsid w:val="00FF0830"/>
    <w:rsid w:val="00FF4E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ecff,#ddd,#3291cd"/>
    </o:shapedefaults>
    <o:shapelayout v:ext="edit">
      <o:idmap v:ext="edit" data="1"/>
    </o:shapelayout>
  </w:shapeDefaults>
  <w:decimalSymbol w:val=","/>
  <w:listSeparator w:val=";"/>
  <w14:docId w14:val="71B419ED"/>
  <w15:docId w15:val="{D5396EC9-8276-46CE-B0FE-0C109C5C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D0757"/>
    <w:pPr>
      <w:spacing w:after="90"/>
    </w:pPr>
    <w:rPr>
      <w:rFonts w:ascii="Tahoma" w:hAnsi="Tahoma"/>
      <w:sz w:val="24"/>
      <w:szCs w:val="24"/>
    </w:rPr>
  </w:style>
  <w:style w:type="paragraph" w:styleId="Naslov1">
    <w:name w:val="heading 1"/>
    <w:basedOn w:val="Navaden"/>
    <w:next w:val="Navaden"/>
    <w:qFormat/>
    <w:rsid w:val="005D0757"/>
    <w:pPr>
      <w:spacing w:before="360" w:after="270"/>
      <w:outlineLvl w:val="0"/>
    </w:pPr>
    <w:rPr>
      <w:rFonts w:cs="Tahoma"/>
      <w:b/>
      <w:color w:val="99CC00"/>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C774BB"/>
    <w:pPr>
      <w:tabs>
        <w:tab w:val="center" w:pos="4153"/>
        <w:tab w:val="right" w:pos="8306"/>
      </w:tabs>
    </w:pPr>
  </w:style>
  <w:style w:type="paragraph" w:styleId="Noga">
    <w:name w:val="footer"/>
    <w:basedOn w:val="Navaden"/>
    <w:rsid w:val="00C774BB"/>
    <w:pPr>
      <w:tabs>
        <w:tab w:val="center" w:pos="4153"/>
        <w:tab w:val="right" w:pos="8306"/>
      </w:tabs>
    </w:pPr>
  </w:style>
  <w:style w:type="character" w:styleId="tevilkastrani">
    <w:name w:val="page number"/>
    <w:basedOn w:val="Privzetapisavaodstavka"/>
    <w:rsid w:val="00C774BB"/>
  </w:style>
  <w:style w:type="paragraph" w:styleId="Navadensplet">
    <w:name w:val="Normal (Web)"/>
    <w:basedOn w:val="Navaden"/>
    <w:uiPriority w:val="99"/>
    <w:rsid w:val="00C774BB"/>
    <w:pPr>
      <w:spacing w:after="258" w:line="258" w:lineRule="atLeast"/>
      <w:jc w:val="both"/>
    </w:pPr>
    <w:rPr>
      <w:sz w:val="20"/>
      <w:szCs w:val="20"/>
    </w:rPr>
  </w:style>
  <w:style w:type="table" w:styleId="Tabelamrea">
    <w:name w:val="Table Grid"/>
    <w:basedOn w:val="Navadnatabela"/>
    <w:rsid w:val="00D90A83"/>
    <w:pPr>
      <w:spacing w:after="9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avaden"/>
    <w:rsid w:val="006F1F66"/>
    <w:pPr>
      <w:autoSpaceDE w:val="0"/>
      <w:autoSpaceDN w:val="0"/>
      <w:adjustRightInd w:val="0"/>
      <w:spacing w:after="0" w:line="288" w:lineRule="auto"/>
      <w:textAlignment w:val="center"/>
    </w:pPr>
    <w:rPr>
      <w:rFonts w:ascii="Arial" w:hAnsi="Arial"/>
      <w:color w:val="000000"/>
      <w:lang w:val="en-GB"/>
    </w:rPr>
  </w:style>
  <w:style w:type="character" w:customStyle="1" w:styleId="TAJDAPELICON">
    <w:name w:val="TAJDA PELICON"/>
    <w:semiHidden/>
    <w:rsid w:val="00A649B9"/>
    <w:rPr>
      <w:rFonts w:ascii="Arial" w:hAnsi="Arial" w:cs="Arial"/>
      <w:color w:val="000080"/>
      <w:sz w:val="20"/>
      <w:szCs w:val="20"/>
    </w:rPr>
  </w:style>
  <w:style w:type="character" w:styleId="Hiperpovezava">
    <w:name w:val="Hyperlink"/>
    <w:rsid w:val="00B926A8"/>
    <w:rPr>
      <w:color w:val="0000FF"/>
      <w:u w:val="single"/>
    </w:rPr>
  </w:style>
  <w:style w:type="character" w:styleId="Pripombasklic">
    <w:name w:val="annotation reference"/>
    <w:basedOn w:val="Privzetapisavaodstavka"/>
    <w:uiPriority w:val="99"/>
    <w:unhideWhenUsed/>
    <w:rsid w:val="00855AB6"/>
    <w:rPr>
      <w:sz w:val="16"/>
      <w:szCs w:val="16"/>
    </w:rPr>
  </w:style>
  <w:style w:type="paragraph" w:styleId="Pripombabesedilo">
    <w:name w:val="annotation text"/>
    <w:basedOn w:val="Navaden"/>
    <w:link w:val="PripombabesediloZnak"/>
    <w:uiPriority w:val="99"/>
    <w:unhideWhenUsed/>
    <w:rsid w:val="00855AB6"/>
    <w:pPr>
      <w:spacing w:after="160"/>
    </w:pPr>
    <w:rPr>
      <w:rFonts w:asciiTheme="minorHAnsi" w:eastAsiaTheme="minorHAnsi" w:hAnsiTheme="minorHAnsi" w:cstheme="minorBidi"/>
      <w:sz w:val="20"/>
      <w:szCs w:val="20"/>
      <w:lang w:eastAsia="en-US"/>
    </w:rPr>
  </w:style>
  <w:style w:type="character" w:customStyle="1" w:styleId="PripombabesediloZnak">
    <w:name w:val="Pripomba – besedilo Znak"/>
    <w:basedOn w:val="Privzetapisavaodstavka"/>
    <w:link w:val="Pripombabesedilo"/>
    <w:uiPriority w:val="99"/>
    <w:rsid w:val="00855AB6"/>
    <w:rPr>
      <w:rFonts w:asciiTheme="minorHAnsi" w:eastAsiaTheme="minorHAnsi" w:hAnsiTheme="minorHAnsi" w:cstheme="minorBidi"/>
      <w:lang w:eastAsia="en-US"/>
    </w:rPr>
  </w:style>
  <w:style w:type="paragraph" w:styleId="Besedilooblaka">
    <w:name w:val="Balloon Text"/>
    <w:basedOn w:val="Navaden"/>
    <w:link w:val="BesedilooblakaZnak"/>
    <w:rsid w:val="00855AB6"/>
    <w:pPr>
      <w:spacing w:after="0"/>
    </w:pPr>
    <w:rPr>
      <w:rFonts w:ascii="Segoe UI" w:hAnsi="Segoe UI" w:cs="Segoe UI"/>
      <w:sz w:val="18"/>
      <w:szCs w:val="18"/>
    </w:rPr>
  </w:style>
  <w:style w:type="character" w:customStyle="1" w:styleId="BesedilooblakaZnak">
    <w:name w:val="Besedilo oblačka Znak"/>
    <w:basedOn w:val="Privzetapisavaodstavka"/>
    <w:link w:val="Besedilooblaka"/>
    <w:rsid w:val="00855AB6"/>
    <w:rPr>
      <w:rFonts w:ascii="Segoe UI" w:hAnsi="Segoe UI" w:cs="Segoe UI"/>
      <w:sz w:val="18"/>
      <w:szCs w:val="18"/>
    </w:rPr>
  </w:style>
  <w:style w:type="paragraph" w:customStyle="1" w:styleId="plain">
    <w:name w:val="plain"/>
    <w:basedOn w:val="Navaden"/>
    <w:rsid w:val="003D62BC"/>
    <w:pPr>
      <w:spacing w:before="100" w:beforeAutospacing="1" w:after="100" w:afterAutospacing="1"/>
    </w:pPr>
    <w:rPr>
      <w:rFonts w:ascii="Times New Roman" w:hAnsi="Times New Roman"/>
    </w:rPr>
  </w:style>
  <w:style w:type="paragraph" w:styleId="Odstavekseznama">
    <w:name w:val="List Paragraph"/>
    <w:basedOn w:val="Navaden"/>
    <w:link w:val="OdstavekseznamaZnak"/>
    <w:uiPriority w:val="34"/>
    <w:qFormat/>
    <w:rsid w:val="003D62BC"/>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373AA3"/>
    <w:pPr>
      <w:autoSpaceDE w:val="0"/>
      <w:autoSpaceDN w:val="0"/>
      <w:adjustRightInd w:val="0"/>
    </w:pPr>
    <w:rPr>
      <w:color w:val="000000"/>
      <w:sz w:val="24"/>
      <w:szCs w:val="24"/>
    </w:rPr>
  </w:style>
  <w:style w:type="paragraph" w:styleId="Zadevapripombe">
    <w:name w:val="annotation subject"/>
    <w:basedOn w:val="Pripombabesedilo"/>
    <w:next w:val="Pripombabesedilo"/>
    <w:link w:val="ZadevapripombeZnak"/>
    <w:rsid w:val="00B12B85"/>
    <w:pPr>
      <w:spacing w:after="90"/>
    </w:pPr>
    <w:rPr>
      <w:rFonts w:ascii="Tahoma" w:eastAsia="Times New Roman" w:hAnsi="Tahoma" w:cs="Times New Roman"/>
      <w:b/>
      <w:bCs/>
      <w:lang w:eastAsia="sl-SI"/>
    </w:rPr>
  </w:style>
  <w:style w:type="character" w:customStyle="1" w:styleId="ZadevapripombeZnak">
    <w:name w:val="Zadeva pripombe Znak"/>
    <w:basedOn w:val="PripombabesediloZnak"/>
    <w:link w:val="Zadevapripombe"/>
    <w:rsid w:val="00B12B85"/>
    <w:rPr>
      <w:rFonts w:ascii="Tahoma" w:eastAsiaTheme="minorHAnsi" w:hAnsi="Tahoma" w:cstheme="minorBidi"/>
      <w:b/>
      <w:bCs/>
      <w:lang w:eastAsia="en-US"/>
    </w:rPr>
  </w:style>
  <w:style w:type="paragraph" w:customStyle="1" w:styleId="TEG-Besedilo">
    <w:name w:val="TEG-Besedilo"/>
    <w:basedOn w:val="Navaden"/>
    <w:uiPriority w:val="99"/>
    <w:rsid w:val="00E84D01"/>
    <w:pPr>
      <w:autoSpaceDE w:val="0"/>
      <w:autoSpaceDN w:val="0"/>
      <w:adjustRightInd w:val="0"/>
      <w:spacing w:after="240" w:line="288" w:lineRule="auto"/>
      <w:textAlignment w:val="center"/>
    </w:pPr>
    <w:rPr>
      <w:rFonts w:ascii="Source Sans Pro Light" w:hAnsi="Source Sans Pro Light" w:cs="Source Sans Pro Light"/>
      <w:color w:val="000000"/>
      <w:sz w:val="20"/>
      <w:szCs w:val="20"/>
    </w:rPr>
  </w:style>
  <w:style w:type="character" w:styleId="SledenaHiperpovezava">
    <w:name w:val="FollowedHyperlink"/>
    <w:basedOn w:val="Privzetapisavaodstavka"/>
    <w:rsid w:val="00F4017A"/>
    <w:rPr>
      <w:color w:val="954F72" w:themeColor="followedHyperlink"/>
      <w:u w:val="single"/>
    </w:rPr>
  </w:style>
  <w:style w:type="character" w:customStyle="1" w:styleId="apple-converted-space">
    <w:name w:val="apple-converted-space"/>
    <w:basedOn w:val="Privzetapisavaodstavka"/>
    <w:rsid w:val="008C2DA9"/>
  </w:style>
  <w:style w:type="character" w:styleId="Krepko">
    <w:name w:val="Strong"/>
    <w:basedOn w:val="Privzetapisavaodstavka"/>
    <w:uiPriority w:val="22"/>
    <w:qFormat/>
    <w:rsid w:val="005A7B44"/>
    <w:rPr>
      <w:b/>
      <w:bCs/>
    </w:rPr>
  </w:style>
  <w:style w:type="character" w:customStyle="1" w:styleId="OdstavekseznamaZnak">
    <w:name w:val="Odstavek seznama Znak"/>
    <w:link w:val="Odstavekseznama"/>
    <w:locked/>
    <w:rsid w:val="005A7B4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1239">
      <w:bodyDiv w:val="1"/>
      <w:marLeft w:val="0"/>
      <w:marRight w:val="0"/>
      <w:marTop w:val="0"/>
      <w:marBottom w:val="0"/>
      <w:divBdr>
        <w:top w:val="none" w:sz="0" w:space="0" w:color="auto"/>
        <w:left w:val="none" w:sz="0" w:space="0" w:color="auto"/>
        <w:bottom w:val="none" w:sz="0" w:space="0" w:color="auto"/>
        <w:right w:val="none" w:sz="0" w:space="0" w:color="auto"/>
      </w:divBdr>
    </w:div>
    <w:div w:id="46029335">
      <w:bodyDiv w:val="1"/>
      <w:marLeft w:val="0"/>
      <w:marRight w:val="0"/>
      <w:marTop w:val="0"/>
      <w:marBottom w:val="0"/>
      <w:divBdr>
        <w:top w:val="none" w:sz="0" w:space="0" w:color="auto"/>
        <w:left w:val="none" w:sz="0" w:space="0" w:color="auto"/>
        <w:bottom w:val="none" w:sz="0" w:space="0" w:color="auto"/>
        <w:right w:val="none" w:sz="0" w:space="0" w:color="auto"/>
      </w:divBdr>
    </w:div>
    <w:div w:id="88281883">
      <w:bodyDiv w:val="1"/>
      <w:marLeft w:val="0"/>
      <w:marRight w:val="0"/>
      <w:marTop w:val="0"/>
      <w:marBottom w:val="0"/>
      <w:divBdr>
        <w:top w:val="none" w:sz="0" w:space="0" w:color="auto"/>
        <w:left w:val="none" w:sz="0" w:space="0" w:color="auto"/>
        <w:bottom w:val="none" w:sz="0" w:space="0" w:color="auto"/>
        <w:right w:val="none" w:sz="0" w:space="0" w:color="auto"/>
      </w:divBdr>
    </w:div>
    <w:div w:id="290600406">
      <w:bodyDiv w:val="1"/>
      <w:marLeft w:val="0"/>
      <w:marRight w:val="0"/>
      <w:marTop w:val="0"/>
      <w:marBottom w:val="0"/>
      <w:divBdr>
        <w:top w:val="none" w:sz="0" w:space="0" w:color="auto"/>
        <w:left w:val="none" w:sz="0" w:space="0" w:color="auto"/>
        <w:bottom w:val="none" w:sz="0" w:space="0" w:color="auto"/>
        <w:right w:val="none" w:sz="0" w:space="0" w:color="auto"/>
      </w:divBdr>
    </w:div>
    <w:div w:id="325406088">
      <w:bodyDiv w:val="1"/>
      <w:marLeft w:val="0"/>
      <w:marRight w:val="0"/>
      <w:marTop w:val="0"/>
      <w:marBottom w:val="0"/>
      <w:divBdr>
        <w:top w:val="none" w:sz="0" w:space="0" w:color="auto"/>
        <w:left w:val="none" w:sz="0" w:space="0" w:color="auto"/>
        <w:bottom w:val="none" w:sz="0" w:space="0" w:color="auto"/>
        <w:right w:val="none" w:sz="0" w:space="0" w:color="auto"/>
      </w:divBdr>
      <w:divsChild>
        <w:div w:id="1199319515">
          <w:marLeft w:val="0"/>
          <w:marRight w:val="0"/>
          <w:marTop w:val="0"/>
          <w:marBottom w:val="0"/>
          <w:divBdr>
            <w:top w:val="none" w:sz="0" w:space="0" w:color="auto"/>
            <w:left w:val="none" w:sz="0" w:space="0" w:color="auto"/>
            <w:bottom w:val="none" w:sz="0" w:space="0" w:color="auto"/>
            <w:right w:val="none" w:sz="0" w:space="0" w:color="auto"/>
          </w:divBdr>
        </w:div>
        <w:div w:id="1016928756">
          <w:marLeft w:val="0"/>
          <w:marRight w:val="0"/>
          <w:marTop w:val="0"/>
          <w:marBottom w:val="0"/>
          <w:divBdr>
            <w:top w:val="none" w:sz="0" w:space="0" w:color="auto"/>
            <w:left w:val="none" w:sz="0" w:space="0" w:color="auto"/>
            <w:bottom w:val="none" w:sz="0" w:space="0" w:color="auto"/>
            <w:right w:val="none" w:sz="0" w:space="0" w:color="auto"/>
          </w:divBdr>
        </w:div>
        <w:div w:id="595671563">
          <w:marLeft w:val="0"/>
          <w:marRight w:val="0"/>
          <w:marTop w:val="0"/>
          <w:marBottom w:val="0"/>
          <w:divBdr>
            <w:top w:val="none" w:sz="0" w:space="0" w:color="auto"/>
            <w:left w:val="none" w:sz="0" w:space="0" w:color="auto"/>
            <w:bottom w:val="none" w:sz="0" w:space="0" w:color="auto"/>
            <w:right w:val="none" w:sz="0" w:space="0" w:color="auto"/>
          </w:divBdr>
        </w:div>
        <w:div w:id="1080643793">
          <w:marLeft w:val="0"/>
          <w:marRight w:val="0"/>
          <w:marTop w:val="0"/>
          <w:marBottom w:val="0"/>
          <w:divBdr>
            <w:top w:val="none" w:sz="0" w:space="0" w:color="auto"/>
            <w:left w:val="none" w:sz="0" w:space="0" w:color="auto"/>
            <w:bottom w:val="none" w:sz="0" w:space="0" w:color="auto"/>
            <w:right w:val="none" w:sz="0" w:space="0" w:color="auto"/>
          </w:divBdr>
        </w:div>
        <w:div w:id="347678496">
          <w:marLeft w:val="0"/>
          <w:marRight w:val="0"/>
          <w:marTop w:val="0"/>
          <w:marBottom w:val="0"/>
          <w:divBdr>
            <w:top w:val="none" w:sz="0" w:space="0" w:color="auto"/>
            <w:left w:val="none" w:sz="0" w:space="0" w:color="auto"/>
            <w:bottom w:val="none" w:sz="0" w:space="0" w:color="auto"/>
            <w:right w:val="none" w:sz="0" w:space="0" w:color="auto"/>
          </w:divBdr>
        </w:div>
        <w:div w:id="453213185">
          <w:marLeft w:val="0"/>
          <w:marRight w:val="0"/>
          <w:marTop w:val="0"/>
          <w:marBottom w:val="0"/>
          <w:divBdr>
            <w:top w:val="none" w:sz="0" w:space="0" w:color="auto"/>
            <w:left w:val="none" w:sz="0" w:space="0" w:color="auto"/>
            <w:bottom w:val="none" w:sz="0" w:space="0" w:color="auto"/>
            <w:right w:val="none" w:sz="0" w:space="0" w:color="auto"/>
          </w:divBdr>
        </w:div>
        <w:div w:id="1601525004">
          <w:marLeft w:val="0"/>
          <w:marRight w:val="0"/>
          <w:marTop w:val="0"/>
          <w:marBottom w:val="0"/>
          <w:divBdr>
            <w:top w:val="none" w:sz="0" w:space="0" w:color="auto"/>
            <w:left w:val="none" w:sz="0" w:space="0" w:color="auto"/>
            <w:bottom w:val="none" w:sz="0" w:space="0" w:color="auto"/>
            <w:right w:val="none" w:sz="0" w:space="0" w:color="auto"/>
          </w:divBdr>
        </w:div>
        <w:div w:id="1391346442">
          <w:marLeft w:val="0"/>
          <w:marRight w:val="0"/>
          <w:marTop w:val="0"/>
          <w:marBottom w:val="0"/>
          <w:divBdr>
            <w:top w:val="none" w:sz="0" w:space="0" w:color="auto"/>
            <w:left w:val="none" w:sz="0" w:space="0" w:color="auto"/>
            <w:bottom w:val="none" w:sz="0" w:space="0" w:color="auto"/>
            <w:right w:val="none" w:sz="0" w:space="0" w:color="auto"/>
          </w:divBdr>
        </w:div>
        <w:div w:id="1787694602">
          <w:marLeft w:val="0"/>
          <w:marRight w:val="0"/>
          <w:marTop w:val="0"/>
          <w:marBottom w:val="0"/>
          <w:divBdr>
            <w:top w:val="none" w:sz="0" w:space="0" w:color="auto"/>
            <w:left w:val="none" w:sz="0" w:space="0" w:color="auto"/>
            <w:bottom w:val="none" w:sz="0" w:space="0" w:color="auto"/>
            <w:right w:val="none" w:sz="0" w:space="0" w:color="auto"/>
          </w:divBdr>
        </w:div>
        <w:div w:id="859589855">
          <w:marLeft w:val="0"/>
          <w:marRight w:val="0"/>
          <w:marTop w:val="0"/>
          <w:marBottom w:val="0"/>
          <w:divBdr>
            <w:top w:val="none" w:sz="0" w:space="0" w:color="auto"/>
            <w:left w:val="none" w:sz="0" w:space="0" w:color="auto"/>
            <w:bottom w:val="none" w:sz="0" w:space="0" w:color="auto"/>
            <w:right w:val="none" w:sz="0" w:space="0" w:color="auto"/>
          </w:divBdr>
        </w:div>
        <w:div w:id="338045552">
          <w:marLeft w:val="0"/>
          <w:marRight w:val="0"/>
          <w:marTop w:val="0"/>
          <w:marBottom w:val="0"/>
          <w:divBdr>
            <w:top w:val="none" w:sz="0" w:space="0" w:color="auto"/>
            <w:left w:val="none" w:sz="0" w:space="0" w:color="auto"/>
            <w:bottom w:val="none" w:sz="0" w:space="0" w:color="auto"/>
            <w:right w:val="none" w:sz="0" w:space="0" w:color="auto"/>
          </w:divBdr>
        </w:div>
        <w:div w:id="203442992">
          <w:marLeft w:val="0"/>
          <w:marRight w:val="0"/>
          <w:marTop w:val="0"/>
          <w:marBottom w:val="0"/>
          <w:divBdr>
            <w:top w:val="none" w:sz="0" w:space="0" w:color="auto"/>
            <w:left w:val="none" w:sz="0" w:space="0" w:color="auto"/>
            <w:bottom w:val="none" w:sz="0" w:space="0" w:color="auto"/>
            <w:right w:val="none" w:sz="0" w:space="0" w:color="auto"/>
          </w:divBdr>
        </w:div>
      </w:divsChild>
    </w:div>
    <w:div w:id="454523950">
      <w:bodyDiv w:val="1"/>
      <w:marLeft w:val="0"/>
      <w:marRight w:val="0"/>
      <w:marTop w:val="0"/>
      <w:marBottom w:val="0"/>
      <w:divBdr>
        <w:top w:val="none" w:sz="0" w:space="0" w:color="auto"/>
        <w:left w:val="none" w:sz="0" w:space="0" w:color="auto"/>
        <w:bottom w:val="none" w:sz="0" w:space="0" w:color="auto"/>
        <w:right w:val="none" w:sz="0" w:space="0" w:color="auto"/>
      </w:divBdr>
    </w:div>
    <w:div w:id="520706937">
      <w:bodyDiv w:val="1"/>
      <w:marLeft w:val="0"/>
      <w:marRight w:val="0"/>
      <w:marTop w:val="0"/>
      <w:marBottom w:val="0"/>
      <w:divBdr>
        <w:top w:val="none" w:sz="0" w:space="0" w:color="auto"/>
        <w:left w:val="none" w:sz="0" w:space="0" w:color="auto"/>
        <w:bottom w:val="none" w:sz="0" w:space="0" w:color="auto"/>
        <w:right w:val="none" w:sz="0" w:space="0" w:color="auto"/>
      </w:divBdr>
      <w:divsChild>
        <w:div w:id="1323781233">
          <w:marLeft w:val="0"/>
          <w:marRight w:val="0"/>
          <w:marTop w:val="0"/>
          <w:marBottom w:val="0"/>
          <w:divBdr>
            <w:top w:val="none" w:sz="0" w:space="0" w:color="auto"/>
            <w:left w:val="none" w:sz="0" w:space="0" w:color="auto"/>
            <w:bottom w:val="none" w:sz="0" w:space="0" w:color="auto"/>
            <w:right w:val="none" w:sz="0" w:space="0" w:color="auto"/>
          </w:divBdr>
          <w:divsChild>
            <w:div w:id="1995602928">
              <w:marLeft w:val="0"/>
              <w:marRight w:val="0"/>
              <w:marTop w:val="111"/>
              <w:marBottom w:val="0"/>
              <w:divBdr>
                <w:top w:val="single" w:sz="6" w:space="6" w:color="666666"/>
                <w:left w:val="none" w:sz="0" w:space="0" w:color="auto"/>
                <w:bottom w:val="none" w:sz="0" w:space="0" w:color="auto"/>
                <w:right w:val="none" w:sz="0" w:space="0" w:color="auto"/>
              </w:divBdr>
            </w:div>
          </w:divsChild>
        </w:div>
      </w:divsChild>
    </w:div>
    <w:div w:id="578251479">
      <w:bodyDiv w:val="1"/>
      <w:marLeft w:val="0"/>
      <w:marRight w:val="0"/>
      <w:marTop w:val="0"/>
      <w:marBottom w:val="0"/>
      <w:divBdr>
        <w:top w:val="none" w:sz="0" w:space="0" w:color="auto"/>
        <w:left w:val="none" w:sz="0" w:space="0" w:color="auto"/>
        <w:bottom w:val="none" w:sz="0" w:space="0" w:color="auto"/>
        <w:right w:val="none" w:sz="0" w:space="0" w:color="auto"/>
      </w:divBdr>
    </w:div>
    <w:div w:id="649023239">
      <w:bodyDiv w:val="1"/>
      <w:marLeft w:val="0"/>
      <w:marRight w:val="0"/>
      <w:marTop w:val="0"/>
      <w:marBottom w:val="0"/>
      <w:divBdr>
        <w:top w:val="none" w:sz="0" w:space="0" w:color="auto"/>
        <w:left w:val="none" w:sz="0" w:space="0" w:color="auto"/>
        <w:bottom w:val="none" w:sz="0" w:space="0" w:color="auto"/>
        <w:right w:val="none" w:sz="0" w:space="0" w:color="auto"/>
      </w:divBdr>
    </w:div>
    <w:div w:id="837312539">
      <w:bodyDiv w:val="1"/>
      <w:marLeft w:val="0"/>
      <w:marRight w:val="0"/>
      <w:marTop w:val="0"/>
      <w:marBottom w:val="0"/>
      <w:divBdr>
        <w:top w:val="none" w:sz="0" w:space="0" w:color="auto"/>
        <w:left w:val="none" w:sz="0" w:space="0" w:color="auto"/>
        <w:bottom w:val="none" w:sz="0" w:space="0" w:color="auto"/>
        <w:right w:val="none" w:sz="0" w:space="0" w:color="auto"/>
      </w:divBdr>
    </w:div>
    <w:div w:id="1000735479">
      <w:bodyDiv w:val="1"/>
      <w:marLeft w:val="0"/>
      <w:marRight w:val="0"/>
      <w:marTop w:val="0"/>
      <w:marBottom w:val="0"/>
      <w:divBdr>
        <w:top w:val="none" w:sz="0" w:space="0" w:color="auto"/>
        <w:left w:val="none" w:sz="0" w:space="0" w:color="auto"/>
        <w:bottom w:val="none" w:sz="0" w:space="0" w:color="auto"/>
        <w:right w:val="none" w:sz="0" w:space="0" w:color="auto"/>
      </w:divBdr>
    </w:div>
    <w:div w:id="1251499093">
      <w:bodyDiv w:val="1"/>
      <w:marLeft w:val="0"/>
      <w:marRight w:val="0"/>
      <w:marTop w:val="0"/>
      <w:marBottom w:val="0"/>
      <w:divBdr>
        <w:top w:val="none" w:sz="0" w:space="0" w:color="auto"/>
        <w:left w:val="none" w:sz="0" w:space="0" w:color="auto"/>
        <w:bottom w:val="none" w:sz="0" w:space="0" w:color="auto"/>
        <w:right w:val="none" w:sz="0" w:space="0" w:color="auto"/>
      </w:divBdr>
    </w:div>
    <w:div w:id="1305742602">
      <w:bodyDiv w:val="1"/>
      <w:marLeft w:val="0"/>
      <w:marRight w:val="0"/>
      <w:marTop w:val="0"/>
      <w:marBottom w:val="0"/>
      <w:divBdr>
        <w:top w:val="none" w:sz="0" w:space="0" w:color="auto"/>
        <w:left w:val="none" w:sz="0" w:space="0" w:color="auto"/>
        <w:bottom w:val="none" w:sz="0" w:space="0" w:color="auto"/>
        <w:right w:val="none" w:sz="0" w:space="0" w:color="auto"/>
      </w:divBdr>
    </w:div>
    <w:div w:id="1377657624">
      <w:bodyDiv w:val="1"/>
      <w:marLeft w:val="0"/>
      <w:marRight w:val="0"/>
      <w:marTop w:val="0"/>
      <w:marBottom w:val="0"/>
      <w:divBdr>
        <w:top w:val="none" w:sz="0" w:space="0" w:color="auto"/>
        <w:left w:val="none" w:sz="0" w:space="0" w:color="auto"/>
        <w:bottom w:val="none" w:sz="0" w:space="0" w:color="auto"/>
        <w:right w:val="none" w:sz="0" w:space="0" w:color="auto"/>
      </w:divBdr>
    </w:div>
    <w:div w:id="1551646755">
      <w:bodyDiv w:val="1"/>
      <w:marLeft w:val="0"/>
      <w:marRight w:val="0"/>
      <w:marTop w:val="0"/>
      <w:marBottom w:val="0"/>
      <w:divBdr>
        <w:top w:val="none" w:sz="0" w:space="0" w:color="auto"/>
        <w:left w:val="none" w:sz="0" w:space="0" w:color="auto"/>
        <w:bottom w:val="none" w:sz="0" w:space="0" w:color="auto"/>
        <w:right w:val="none" w:sz="0" w:space="0" w:color="auto"/>
      </w:divBdr>
    </w:div>
    <w:div w:id="1755932259">
      <w:bodyDiv w:val="1"/>
      <w:marLeft w:val="0"/>
      <w:marRight w:val="0"/>
      <w:marTop w:val="0"/>
      <w:marBottom w:val="0"/>
      <w:divBdr>
        <w:top w:val="none" w:sz="0" w:space="0" w:color="auto"/>
        <w:left w:val="none" w:sz="0" w:space="0" w:color="auto"/>
        <w:bottom w:val="none" w:sz="0" w:space="0" w:color="auto"/>
        <w:right w:val="none" w:sz="0" w:space="0" w:color="auto"/>
      </w:divBdr>
    </w:div>
    <w:div w:id="1765683438">
      <w:bodyDiv w:val="1"/>
      <w:marLeft w:val="0"/>
      <w:marRight w:val="0"/>
      <w:marTop w:val="0"/>
      <w:marBottom w:val="0"/>
      <w:divBdr>
        <w:top w:val="none" w:sz="0" w:space="0" w:color="auto"/>
        <w:left w:val="none" w:sz="0" w:space="0" w:color="auto"/>
        <w:bottom w:val="none" w:sz="0" w:space="0" w:color="auto"/>
        <w:right w:val="none" w:sz="0" w:space="0" w:color="auto"/>
      </w:divBdr>
    </w:div>
    <w:div w:id="1881547437">
      <w:bodyDiv w:val="1"/>
      <w:marLeft w:val="0"/>
      <w:marRight w:val="0"/>
      <w:marTop w:val="0"/>
      <w:marBottom w:val="0"/>
      <w:divBdr>
        <w:top w:val="none" w:sz="0" w:space="0" w:color="auto"/>
        <w:left w:val="none" w:sz="0" w:space="0" w:color="auto"/>
        <w:bottom w:val="none" w:sz="0" w:space="0" w:color="auto"/>
        <w:right w:val="none" w:sz="0" w:space="0" w:color="auto"/>
      </w:divBdr>
    </w:div>
    <w:div w:id="2007828771">
      <w:bodyDiv w:val="1"/>
      <w:marLeft w:val="0"/>
      <w:marRight w:val="0"/>
      <w:marTop w:val="0"/>
      <w:marBottom w:val="0"/>
      <w:divBdr>
        <w:top w:val="none" w:sz="0" w:space="0" w:color="auto"/>
        <w:left w:val="none" w:sz="0" w:space="0" w:color="auto"/>
        <w:bottom w:val="none" w:sz="0" w:space="0" w:color="auto"/>
        <w:right w:val="none" w:sz="0" w:space="0" w:color="auto"/>
      </w:divBdr>
    </w:div>
    <w:div w:id="211559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CBF6750-55E7-471A-8A1A-BAE879FC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2776</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Gospodarska Zbornica Slovenije</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Željka Klisarić</cp:lastModifiedBy>
  <cp:revision>2</cp:revision>
  <cp:lastPrinted>2012-12-05T13:28:00Z</cp:lastPrinted>
  <dcterms:created xsi:type="dcterms:W3CDTF">2016-10-13T11:28:00Z</dcterms:created>
  <dcterms:modified xsi:type="dcterms:W3CDTF">2016-10-13T11:28:00Z</dcterms:modified>
</cp:coreProperties>
</file>