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75" w:rsidRDefault="00226575" w:rsidP="007D56BD">
      <w:pPr>
        <w:spacing w:after="60"/>
        <w:ind w:left="720" w:right="-567" w:hanging="720"/>
        <w:rPr>
          <w:rFonts w:asciiTheme="minorHAnsi" w:hAnsiTheme="minorHAnsi"/>
          <w:sz w:val="24"/>
          <w:szCs w:val="24"/>
        </w:rPr>
      </w:pPr>
      <w:r>
        <w:rPr>
          <w:rFonts w:asciiTheme="minorHAnsi" w:hAnsiTheme="minorHAnsi"/>
          <w:sz w:val="24"/>
          <w:szCs w:val="24"/>
        </w:rPr>
        <w:t>Slovenko Henigman</w:t>
      </w:r>
    </w:p>
    <w:p w:rsidR="00423122" w:rsidRPr="00226575" w:rsidRDefault="007D56BD" w:rsidP="007D56BD">
      <w:pPr>
        <w:spacing w:after="60"/>
        <w:ind w:left="720" w:right="-567" w:hanging="720"/>
        <w:rPr>
          <w:rFonts w:asciiTheme="minorHAnsi" w:hAnsiTheme="minorHAnsi"/>
          <w:sz w:val="24"/>
          <w:szCs w:val="24"/>
        </w:rPr>
      </w:pPr>
      <w:r>
        <w:rPr>
          <w:rFonts w:asciiTheme="minorHAnsi" w:hAnsiTheme="minorHAnsi"/>
          <w:sz w:val="24"/>
          <w:szCs w:val="24"/>
        </w:rPr>
        <w:t xml:space="preserve">Direktor </w:t>
      </w:r>
      <w:r w:rsidR="009315F4">
        <w:rPr>
          <w:rFonts w:asciiTheme="minorHAnsi" w:hAnsiTheme="minorHAnsi"/>
          <w:sz w:val="24"/>
          <w:szCs w:val="24"/>
        </w:rPr>
        <w:t>SLOMAN</w:t>
      </w:r>
      <w:r w:rsidR="006934C9">
        <w:rPr>
          <w:rFonts w:asciiTheme="minorHAnsi" w:hAnsiTheme="minorHAnsi"/>
          <w:sz w:val="24"/>
          <w:szCs w:val="24"/>
        </w:rPr>
        <w:t>,</w:t>
      </w:r>
      <w:r w:rsidR="009315F4">
        <w:rPr>
          <w:rFonts w:asciiTheme="minorHAnsi" w:hAnsiTheme="minorHAnsi"/>
          <w:sz w:val="24"/>
          <w:szCs w:val="24"/>
        </w:rPr>
        <w:t xml:space="preserve"> d.o.o.</w:t>
      </w:r>
      <w:r>
        <w:rPr>
          <w:rFonts w:asciiTheme="minorHAnsi" w:hAnsiTheme="minorHAnsi"/>
          <w:sz w:val="24"/>
          <w:szCs w:val="24"/>
        </w:rPr>
        <w:t xml:space="preserve"> in ZSI pri</w:t>
      </w:r>
      <w:r w:rsidR="00423122">
        <w:rPr>
          <w:rFonts w:asciiTheme="minorHAnsi" w:hAnsiTheme="minorHAnsi"/>
          <w:sz w:val="24"/>
          <w:szCs w:val="24"/>
        </w:rPr>
        <w:t xml:space="preserve"> GZS</w:t>
      </w:r>
    </w:p>
    <w:p w:rsidR="00226575" w:rsidRDefault="00226575" w:rsidP="0088713A">
      <w:pPr>
        <w:spacing w:after="60"/>
        <w:ind w:left="720" w:right="-567"/>
        <w:jc w:val="center"/>
        <w:rPr>
          <w:rFonts w:asciiTheme="minorHAnsi" w:hAnsiTheme="minorHAnsi"/>
          <w:b/>
          <w:sz w:val="24"/>
          <w:szCs w:val="24"/>
        </w:rPr>
      </w:pPr>
    </w:p>
    <w:p w:rsidR="00C35FC4" w:rsidRDefault="00C35FC4" w:rsidP="0088713A">
      <w:pPr>
        <w:spacing w:after="60"/>
        <w:ind w:left="720" w:right="-567"/>
        <w:jc w:val="center"/>
        <w:rPr>
          <w:rFonts w:asciiTheme="minorHAnsi" w:hAnsiTheme="minorHAnsi"/>
          <w:b/>
          <w:sz w:val="24"/>
          <w:szCs w:val="24"/>
        </w:rPr>
      </w:pPr>
      <w:r>
        <w:rPr>
          <w:rFonts w:asciiTheme="minorHAnsi" w:hAnsiTheme="minorHAnsi"/>
          <w:b/>
          <w:sz w:val="24"/>
          <w:szCs w:val="24"/>
        </w:rPr>
        <w:t>»Zlato pravilo« vl</w:t>
      </w:r>
      <w:r w:rsidR="007D56BD">
        <w:rPr>
          <w:rFonts w:asciiTheme="minorHAnsi" w:hAnsiTheme="minorHAnsi"/>
          <w:b/>
          <w:sz w:val="24"/>
          <w:szCs w:val="24"/>
        </w:rPr>
        <w:t>aganj v prometno infrastruktur</w:t>
      </w:r>
    </w:p>
    <w:p w:rsidR="00C35FC4" w:rsidRDefault="00C35FC4" w:rsidP="0088713A">
      <w:pPr>
        <w:spacing w:after="60"/>
        <w:ind w:left="720" w:right="-567"/>
        <w:jc w:val="center"/>
        <w:rPr>
          <w:rFonts w:asciiTheme="minorHAnsi" w:hAnsiTheme="minorHAnsi"/>
          <w:b/>
          <w:sz w:val="24"/>
          <w:szCs w:val="24"/>
        </w:rPr>
      </w:pPr>
    </w:p>
    <w:p w:rsidR="00C35FC4" w:rsidRPr="0088713A" w:rsidRDefault="00C35FC4" w:rsidP="0088713A">
      <w:pPr>
        <w:spacing w:after="60"/>
        <w:ind w:right="-567"/>
        <w:rPr>
          <w:rFonts w:asciiTheme="minorHAnsi" w:hAnsiTheme="minorHAnsi"/>
          <w:b/>
          <w:sz w:val="24"/>
          <w:szCs w:val="24"/>
        </w:rPr>
      </w:pPr>
      <w:r w:rsidRPr="0088713A">
        <w:rPr>
          <w:rFonts w:asciiTheme="minorHAnsi" w:hAnsiTheme="minorHAnsi"/>
          <w:b/>
          <w:sz w:val="24"/>
          <w:szCs w:val="24"/>
        </w:rPr>
        <w:t>Povzetek</w:t>
      </w:r>
    </w:p>
    <w:p w:rsidR="00C35FC4" w:rsidRPr="0090166F" w:rsidRDefault="00C35FC4" w:rsidP="0088713A">
      <w:pPr>
        <w:pStyle w:val="Odstavekseznama"/>
        <w:spacing w:after="60"/>
        <w:ind w:left="1440" w:right="-567"/>
        <w:rPr>
          <w:rFonts w:asciiTheme="minorHAnsi" w:hAnsiTheme="minorHAnsi"/>
          <w:sz w:val="24"/>
          <w:szCs w:val="24"/>
        </w:rPr>
      </w:pPr>
    </w:p>
    <w:p w:rsidR="00950B4D" w:rsidRDefault="00BD17AC" w:rsidP="0088713A">
      <w:pPr>
        <w:spacing w:after="60"/>
        <w:ind w:right="-567"/>
        <w:jc w:val="both"/>
        <w:rPr>
          <w:rFonts w:asciiTheme="minorHAnsi" w:hAnsiTheme="minorHAnsi"/>
          <w:sz w:val="24"/>
          <w:szCs w:val="24"/>
        </w:rPr>
      </w:pPr>
      <w:r>
        <w:rPr>
          <w:rFonts w:asciiTheme="minorHAnsi" w:hAnsiTheme="minorHAnsi"/>
          <w:sz w:val="24"/>
          <w:szCs w:val="24"/>
        </w:rPr>
        <w:t>Vzdrževanje in razvoj prometne infrastrukture Slovenije je ena od najpomembnejših tem v naslednjem obdobju.</w:t>
      </w:r>
      <w:r w:rsidR="00C35FC4" w:rsidRPr="006420CC">
        <w:rPr>
          <w:rFonts w:asciiTheme="minorHAnsi" w:hAnsiTheme="minorHAnsi"/>
          <w:sz w:val="24"/>
          <w:szCs w:val="24"/>
        </w:rPr>
        <w:t xml:space="preserve"> </w:t>
      </w:r>
      <w:r w:rsidR="00C35FC4">
        <w:rPr>
          <w:rFonts w:asciiTheme="minorHAnsi" w:hAnsiTheme="minorHAnsi"/>
          <w:sz w:val="24"/>
          <w:szCs w:val="24"/>
        </w:rPr>
        <w:t>Investicijska suša</w:t>
      </w:r>
      <w:r w:rsidR="0088713A">
        <w:rPr>
          <w:rFonts w:asciiTheme="minorHAnsi" w:hAnsiTheme="minorHAnsi"/>
          <w:sz w:val="24"/>
          <w:szCs w:val="24"/>
        </w:rPr>
        <w:t>,</w:t>
      </w:r>
      <w:r w:rsidR="00C35FC4">
        <w:rPr>
          <w:rFonts w:asciiTheme="minorHAnsi" w:hAnsiTheme="minorHAnsi"/>
          <w:sz w:val="24"/>
          <w:szCs w:val="24"/>
        </w:rPr>
        <w:t xml:space="preserve"> ki se vleče že več kot 5 let</w:t>
      </w:r>
      <w:r w:rsidR="0088713A">
        <w:rPr>
          <w:rFonts w:asciiTheme="minorHAnsi" w:hAnsiTheme="minorHAnsi"/>
          <w:sz w:val="24"/>
          <w:szCs w:val="24"/>
        </w:rPr>
        <w:t>,</w:t>
      </w:r>
      <w:r w:rsidR="00C35FC4">
        <w:rPr>
          <w:rFonts w:asciiTheme="minorHAnsi" w:hAnsiTheme="minorHAnsi"/>
          <w:sz w:val="24"/>
          <w:szCs w:val="24"/>
        </w:rPr>
        <w:t xml:space="preserve"> </w:t>
      </w:r>
      <w:r w:rsidR="00C35FC4" w:rsidRPr="006420CC">
        <w:rPr>
          <w:rFonts w:asciiTheme="minorHAnsi" w:hAnsiTheme="minorHAnsi"/>
          <w:sz w:val="24"/>
          <w:szCs w:val="24"/>
        </w:rPr>
        <w:t xml:space="preserve">se še ni zaključila. Razen izvedbe posameznih železniških projektov v zadnjem obdobju nimamo </w:t>
      </w:r>
      <w:r w:rsidR="007D56BD">
        <w:rPr>
          <w:rFonts w:asciiTheme="minorHAnsi" w:hAnsiTheme="minorHAnsi"/>
          <w:sz w:val="24"/>
          <w:szCs w:val="24"/>
        </w:rPr>
        <w:t>veliko</w:t>
      </w:r>
      <w:r w:rsidR="00C35FC4" w:rsidRPr="006420CC">
        <w:rPr>
          <w:rFonts w:asciiTheme="minorHAnsi" w:hAnsiTheme="minorHAnsi"/>
          <w:sz w:val="24"/>
          <w:szCs w:val="24"/>
        </w:rPr>
        <w:t xml:space="preserve"> poka</w:t>
      </w:r>
      <w:r w:rsidR="00C35FC4">
        <w:rPr>
          <w:rFonts w:asciiTheme="minorHAnsi" w:hAnsiTheme="minorHAnsi"/>
          <w:sz w:val="24"/>
          <w:szCs w:val="24"/>
        </w:rPr>
        <w:t xml:space="preserve">zati. </w:t>
      </w:r>
    </w:p>
    <w:p w:rsidR="00950B4D" w:rsidRDefault="00950B4D" w:rsidP="0088713A">
      <w:pPr>
        <w:spacing w:after="60"/>
        <w:ind w:right="-567"/>
        <w:jc w:val="both"/>
        <w:rPr>
          <w:rFonts w:asciiTheme="minorHAnsi" w:hAnsiTheme="minorHAnsi"/>
          <w:sz w:val="24"/>
          <w:szCs w:val="24"/>
        </w:rPr>
      </w:pPr>
      <w:r>
        <w:rPr>
          <w:rFonts w:asciiTheme="minorHAnsi" w:hAnsiTheme="minorHAnsi"/>
          <w:sz w:val="24"/>
          <w:szCs w:val="24"/>
        </w:rPr>
        <w:t>Slovenska vlada je že sprejela strategijo razvoja prometne infrastrukture. Na njeni osnovi bi morali kar najhitreje</w:t>
      </w:r>
      <w:r w:rsidR="008A3E3D">
        <w:rPr>
          <w:rFonts w:asciiTheme="minorHAnsi" w:hAnsiTheme="minorHAnsi"/>
          <w:sz w:val="24"/>
          <w:szCs w:val="24"/>
        </w:rPr>
        <w:t xml:space="preserve"> dokončati in sprejeti operativni program</w:t>
      </w:r>
      <w:r w:rsidR="007D56BD">
        <w:rPr>
          <w:rFonts w:asciiTheme="minorHAnsi" w:hAnsiTheme="minorHAnsi"/>
          <w:sz w:val="24"/>
          <w:szCs w:val="24"/>
        </w:rPr>
        <w:t>, ki bi temeljil</w:t>
      </w:r>
      <w:r>
        <w:rPr>
          <w:rFonts w:asciiTheme="minorHAnsi" w:hAnsiTheme="minorHAnsi"/>
          <w:sz w:val="24"/>
          <w:szCs w:val="24"/>
        </w:rPr>
        <w:t xml:space="preserve"> na stalnih in enakomernih finančnih virih </w:t>
      </w:r>
      <w:r w:rsidR="007D56BD">
        <w:rPr>
          <w:rFonts w:asciiTheme="minorHAnsi" w:hAnsiTheme="minorHAnsi"/>
          <w:sz w:val="24"/>
          <w:szCs w:val="24"/>
        </w:rPr>
        <w:t xml:space="preserve">in </w:t>
      </w:r>
      <w:r w:rsidR="008A3E3D">
        <w:rPr>
          <w:rFonts w:asciiTheme="minorHAnsi" w:hAnsiTheme="minorHAnsi"/>
          <w:sz w:val="24"/>
          <w:szCs w:val="24"/>
        </w:rPr>
        <w:t>program</w:t>
      </w:r>
      <w:r>
        <w:rPr>
          <w:rFonts w:asciiTheme="minorHAnsi" w:hAnsiTheme="minorHAnsi"/>
          <w:sz w:val="24"/>
          <w:szCs w:val="24"/>
        </w:rPr>
        <w:t xml:space="preserve"> pričeti realizirati. </w:t>
      </w:r>
    </w:p>
    <w:p w:rsidR="00D737CD" w:rsidRDefault="00950B4D" w:rsidP="0088713A">
      <w:pPr>
        <w:spacing w:after="60"/>
        <w:ind w:right="-567"/>
        <w:jc w:val="both"/>
        <w:rPr>
          <w:rFonts w:asciiTheme="minorHAnsi" w:hAnsiTheme="minorHAnsi"/>
          <w:sz w:val="24"/>
          <w:szCs w:val="24"/>
        </w:rPr>
      </w:pPr>
      <w:r>
        <w:rPr>
          <w:rFonts w:asciiTheme="minorHAnsi" w:hAnsiTheme="minorHAnsi"/>
          <w:sz w:val="24"/>
          <w:szCs w:val="24"/>
        </w:rPr>
        <w:t xml:space="preserve">Projekcija planov Ministrstva za infrastrukturo (MzI) na osnovi predloga proračuna 2016 – 2017 kaže </w:t>
      </w:r>
      <w:r w:rsidR="0088713A">
        <w:rPr>
          <w:rFonts w:asciiTheme="minorHAnsi" w:hAnsiTheme="minorHAnsi"/>
          <w:sz w:val="24"/>
          <w:szCs w:val="24"/>
        </w:rPr>
        <w:t xml:space="preserve">- glede na leto 2015 - </w:t>
      </w:r>
      <w:r>
        <w:rPr>
          <w:rFonts w:asciiTheme="minorHAnsi" w:hAnsiTheme="minorHAnsi"/>
          <w:sz w:val="24"/>
          <w:szCs w:val="24"/>
        </w:rPr>
        <w:t xml:space="preserve">na znižanje investicij </w:t>
      </w:r>
      <w:r w:rsidR="00D737CD">
        <w:rPr>
          <w:rFonts w:asciiTheme="minorHAnsi" w:hAnsiTheme="minorHAnsi"/>
          <w:sz w:val="24"/>
          <w:szCs w:val="24"/>
        </w:rPr>
        <w:t>za 283</w:t>
      </w:r>
      <w:r>
        <w:rPr>
          <w:rFonts w:asciiTheme="minorHAnsi" w:hAnsiTheme="minorHAnsi"/>
          <w:sz w:val="24"/>
          <w:szCs w:val="24"/>
        </w:rPr>
        <w:t xml:space="preserve"> mio EUR</w:t>
      </w:r>
      <w:r w:rsidR="00D737CD">
        <w:rPr>
          <w:rFonts w:asciiTheme="minorHAnsi" w:hAnsiTheme="minorHAnsi"/>
          <w:sz w:val="24"/>
          <w:szCs w:val="24"/>
        </w:rPr>
        <w:t xml:space="preserve">, oziroma </w:t>
      </w:r>
      <w:r w:rsidR="007D56BD">
        <w:rPr>
          <w:rFonts w:asciiTheme="minorHAnsi" w:hAnsiTheme="minorHAnsi"/>
          <w:sz w:val="24"/>
          <w:szCs w:val="24"/>
        </w:rPr>
        <w:t xml:space="preserve">na </w:t>
      </w:r>
      <w:r w:rsidR="0088713A">
        <w:rPr>
          <w:rFonts w:asciiTheme="minorHAnsi" w:hAnsiTheme="minorHAnsi"/>
          <w:sz w:val="24"/>
          <w:szCs w:val="24"/>
        </w:rPr>
        <w:t>padec investicij za 30</w:t>
      </w:r>
      <w:r w:rsidR="00D737CD">
        <w:rPr>
          <w:rFonts w:asciiTheme="minorHAnsi" w:hAnsiTheme="minorHAnsi"/>
          <w:sz w:val="24"/>
          <w:szCs w:val="24"/>
        </w:rPr>
        <w:t>%. Če se bo takšno znižanje dejansko zgodilo</w:t>
      </w:r>
      <w:r w:rsidR="0088713A">
        <w:rPr>
          <w:rFonts w:asciiTheme="minorHAnsi" w:hAnsiTheme="minorHAnsi"/>
          <w:sz w:val="24"/>
          <w:szCs w:val="24"/>
        </w:rPr>
        <w:t>,</w:t>
      </w:r>
      <w:r w:rsidR="00D737CD">
        <w:rPr>
          <w:rFonts w:asciiTheme="minorHAnsi" w:hAnsiTheme="minorHAnsi"/>
          <w:sz w:val="24"/>
          <w:szCs w:val="24"/>
        </w:rPr>
        <w:t xml:space="preserve"> bomo v naslednjih dveh l</w:t>
      </w:r>
      <w:r w:rsidR="0088713A">
        <w:rPr>
          <w:rFonts w:asciiTheme="minorHAnsi" w:hAnsiTheme="minorHAnsi"/>
          <w:sz w:val="24"/>
          <w:szCs w:val="24"/>
        </w:rPr>
        <w:t xml:space="preserve">etih ponovno dosegli zgodovinski </w:t>
      </w:r>
      <w:r w:rsidR="00D737CD">
        <w:rPr>
          <w:rFonts w:asciiTheme="minorHAnsi" w:hAnsiTheme="minorHAnsi"/>
          <w:sz w:val="24"/>
          <w:szCs w:val="24"/>
        </w:rPr>
        <w:t>dno investicij</w:t>
      </w:r>
      <w:r w:rsidR="008A3E3D">
        <w:rPr>
          <w:rFonts w:asciiTheme="minorHAnsi" w:hAnsiTheme="minorHAnsi"/>
          <w:sz w:val="24"/>
          <w:szCs w:val="24"/>
        </w:rPr>
        <w:t xml:space="preserve"> v Sloveniji</w:t>
      </w:r>
      <w:r w:rsidR="00D737CD">
        <w:rPr>
          <w:rFonts w:asciiTheme="minorHAnsi" w:hAnsiTheme="minorHAnsi"/>
          <w:sz w:val="24"/>
          <w:szCs w:val="24"/>
        </w:rPr>
        <w:t xml:space="preserve">. Ker smo </w:t>
      </w:r>
      <w:r w:rsidR="0088713A">
        <w:rPr>
          <w:rFonts w:asciiTheme="minorHAnsi" w:hAnsiTheme="minorHAnsi"/>
          <w:sz w:val="24"/>
          <w:szCs w:val="24"/>
        </w:rPr>
        <w:t xml:space="preserve">v zadnjih letih </w:t>
      </w:r>
      <w:r w:rsidR="00D737CD">
        <w:rPr>
          <w:rFonts w:asciiTheme="minorHAnsi" w:hAnsiTheme="minorHAnsi"/>
          <w:sz w:val="24"/>
          <w:szCs w:val="24"/>
        </w:rPr>
        <w:t xml:space="preserve">spoznali posledice takšne situacije, </w:t>
      </w:r>
      <w:r w:rsidR="0088713A">
        <w:rPr>
          <w:rFonts w:asciiTheme="minorHAnsi" w:hAnsiTheme="minorHAnsi"/>
          <w:sz w:val="24"/>
          <w:szCs w:val="24"/>
        </w:rPr>
        <w:t>je nujno</w:t>
      </w:r>
      <w:r w:rsidR="00D737CD">
        <w:rPr>
          <w:rFonts w:asciiTheme="minorHAnsi" w:hAnsiTheme="minorHAnsi"/>
          <w:sz w:val="24"/>
          <w:szCs w:val="24"/>
        </w:rPr>
        <w:t xml:space="preserve"> ukrepanje.</w:t>
      </w:r>
    </w:p>
    <w:p w:rsidR="00FF0589" w:rsidRDefault="00D737CD" w:rsidP="0088713A">
      <w:pPr>
        <w:spacing w:after="60"/>
        <w:ind w:right="-567"/>
        <w:jc w:val="both"/>
        <w:rPr>
          <w:rFonts w:asciiTheme="minorHAnsi" w:hAnsiTheme="minorHAnsi"/>
          <w:sz w:val="24"/>
          <w:szCs w:val="24"/>
        </w:rPr>
      </w:pPr>
      <w:r>
        <w:rPr>
          <w:rFonts w:asciiTheme="minorHAnsi" w:hAnsiTheme="minorHAnsi"/>
          <w:sz w:val="24"/>
          <w:szCs w:val="24"/>
        </w:rPr>
        <w:t xml:space="preserve">Predvsem vidimo dve možnosti ukrepanja in sicer z </w:t>
      </w:r>
      <w:r w:rsidR="0088713A">
        <w:rPr>
          <w:rFonts w:asciiTheme="minorHAnsi" w:hAnsiTheme="minorHAnsi"/>
          <w:sz w:val="24"/>
          <w:szCs w:val="24"/>
        </w:rPr>
        <w:t>zagotovitvijo namenskih sredstev -</w:t>
      </w:r>
      <w:r>
        <w:rPr>
          <w:rFonts w:asciiTheme="minorHAnsi" w:hAnsiTheme="minorHAnsi"/>
          <w:sz w:val="24"/>
          <w:szCs w:val="24"/>
        </w:rPr>
        <w:t xml:space="preserve"> infrastrukturnega sklada in s pospešeno in</w:t>
      </w:r>
      <w:r w:rsidR="0088713A">
        <w:rPr>
          <w:rFonts w:asciiTheme="minorHAnsi" w:hAnsiTheme="minorHAnsi"/>
          <w:sz w:val="24"/>
          <w:szCs w:val="24"/>
        </w:rPr>
        <w:t xml:space="preserve">vesticijsko aktivnostjo DARS, z vlaganji v razvojne projekte in </w:t>
      </w:r>
      <w:r>
        <w:rPr>
          <w:rFonts w:asciiTheme="minorHAnsi" w:hAnsiTheme="minorHAnsi"/>
          <w:sz w:val="24"/>
          <w:szCs w:val="24"/>
        </w:rPr>
        <w:t xml:space="preserve">potrebne </w:t>
      </w:r>
      <w:r w:rsidR="0088713A">
        <w:rPr>
          <w:rFonts w:asciiTheme="minorHAnsi" w:hAnsiTheme="minorHAnsi"/>
          <w:sz w:val="24"/>
          <w:szCs w:val="24"/>
        </w:rPr>
        <w:t xml:space="preserve">nadgradnje in </w:t>
      </w:r>
      <w:r>
        <w:rPr>
          <w:rFonts w:asciiTheme="minorHAnsi" w:hAnsiTheme="minorHAnsi"/>
          <w:sz w:val="24"/>
          <w:szCs w:val="24"/>
        </w:rPr>
        <w:t>obnove</w:t>
      </w:r>
      <w:r w:rsidR="0088713A">
        <w:rPr>
          <w:rFonts w:asciiTheme="minorHAnsi" w:hAnsiTheme="minorHAnsi"/>
          <w:sz w:val="24"/>
          <w:szCs w:val="24"/>
        </w:rPr>
        <w:t xml:space="preserve"> preobremenjenih avtocestnih vozišč</w:t>
      </w:r>
      <w:r>
        <w:rPr>
          <w:rFonts w:asciiTheme="minorHAnsi" w:hAnsiTheme="minorHAnsi"/>
          <w:sz w:val="24"/>
          <w:szCs w:val="24"/>
        </w:rPr>
        <w:t>.</w:t>
      </w:r>
    </w:p>
    <w:p w:rsidR="0088713A" w:rsidRDefault="00D737CD" w:rsidP="0088713A">
      <w:pPr>
        <w:spacing w:after="60"/>
        <w:ind w:right="-567"/>
        <w:jc w:val="both"/>
        <w:rPr>
          <w:rFonts w:asciiTheme="minorHAnsi" w:hAnsiTheme="minorHAnsi"/>
          <w:sz w:val="24"/>
          <w:szCs w:val="24"/>
        </w:rPr>
      </w:pPr>
      <w:r>
        <w:rPr>
          <w:rFonts w:asciiTheme="minorHAnsi" w:hAnsiTheme="minorHAnsi"/>
          <w:sz w:val="24"/>
          <w:szCs w:val="24"/>
        </w:rPr>
        <w:t xml:space="preserve">Končno naj se </w:t>
      </w:r>
      <w:r w:rsidR="008A3E3D">
        <w:rPr>
          <w:rFonts w:asciiTheme="minorHAnsi" w:hAnsiTheme="minorHAnsi"/>
          <w:sz w:val="24"/>
          <w:szCs w:val="24"/>
        </w:rPr>
        <w:t xml:space="preserve">v operativnem programu </w:t>
      </w:r>
      <w:r>
        <w:rPr>
          <w:rFonts w:asciiTheme="minorHAnsi" w:hAnsiTheme="minorHAnsi"/>
          <w:sz w:val="24"/>
          <w:szCs w:val="24"/>
        </w:rPr>
        <w:t xml:space="preserve">izdela načrt vlaganj v prometno infrastrukturo, ki bo zagotovil enakomernost </w:t>
      </w:r>
      <w:r w:rsidR="0088713A">
        <w:rPr>
          <w:rFonts w:asciiTheme="minorHAnsi" w:hAnsiTheme="minorHAnsi"/>
          <w:sz w:val="24"/>
          <w:szCs w:val="24"/>
        </w:rPr>
        <w:t>z več letnimi drsnimi plani</w:t>
      </w:r>
      <w:r w:rsidR="007D56BD">
        <w:rPr>
          <w:rFonts w:asciiTheme="minorHAnsi" w:hAnsiTheme="minorHAnsi"/>
          <w:sz w:val="24"/>
          <w:szCs w:val="24"/>
        </w:rPr>
        <w:t xml:space="preserve"> za celotni</w:t>
      </w:r>
      <w:r>
        <w:rPr>
          <w:rFonts w:asciiTheme="minorHAnsi" w:hAnsiTheme="minorHAnsi"/>
          <w:sz w:val="24"/>
          <w:szCs w:val="24"/>
        </w:rPr>
        <w:t xml:space="preserve"> in </w:t>
      </w:r>
      <w:r w:rsidR="0088713A">
        <w:rPr>
          <w:rFonts w:asciiTheme="minorHAnsi" w:hAnsiTheme="minorHAnsi"/>
          <w:sz w:val="24"/>
          <w:szCs w:val="24"/>
        </w:rPr>
        <w:t xml:space="preserve">za </w:t>
      </w:r>
      <w:r>
        <w:rPr>
          <w:rFonts w:asciiTheme="minorHAnsi" w:hAnsiTheme="minorHAnsi"/>
          <w:sz w:val="24"/>
          <w:szCs w:val="24"/>
        </w:rPr>
        <w:t xml:space="preserve">posamezni prometni sektor (predvsem ceste in železnice). Za izdelavo in bdenje nad temi plani je potrebno iz obstoječih struktur </w:t>
      </w:r>
      <w:r w:rsidR="007D56BD">
        <w:rPr>
          <w:rFonts w:asciiTheme="minorHAnsi" w:hAnsiTheme="minorHAnsi"/>
          <w:sz w:val="24"/>
          <w:szCs w:val="24"/>
        </w:rPr>
        <w:t xml:space="preserve">na MzI </w:t>
      </w:r>
      <w:r>
        <w:rPr>
          <w:rFonts w:asciiTheme="minorHAnsi" w:hAnsiTheme="minorHAnsi"/>
          <w:sz w:val="24"/>
          <w:szCs w:val="24"/>
        </w:rPr>
        <w:t xml:space="preserve">določiti </w:t>
      </w:r>
      <w:r w:rsidR="007D56BD">
        <w:rPr>
          <w:rFonts w:asciiTheme="minorHAnsi" w:hAnsiTheme="minorHAnsi"/>
          <w:sz w:val="24"/>
          <w:szCs w:val="24"/>
        </w:rPr>
        <w:t xml:space="preserve">manjši </w:t>
      </w:r>
      <w:r>
        <w:rPr>
          <w:rFonts w:asciiTheme="minorHAnsi" w:hAnsiTheme="minorHAnsi"/>
          <w:sz w:val="24"/>
          <w:szCs w:val="24"/>
        </w:rPr>
        <w:t>strokovni team st</w:t>
      </w:r>
      <w:r w:rsidR="0088713A">
        <w:rPr>
          <w:rFonts w:asciiTheme="minorHAnsi" w:hAnsiTheme="minorHAnsi"/>
          <w:sz w:val="24"/>
          <w:szCs w:val="24"/>
        </w:rPr>
        <w:t>rokovnjakov</w:t>
      </w:r>
      <w:r>
        <w:rPr>
          <w:rFonts w:asciiTheme="minorHAnsi" w:hAnsiTheme="minorHAnsi"/>
          <w:sz w:val="24"/>
          <w:szCs w:val="24"/>
        </w:rPr>
        <w:t>. Operativni del naloge pa je potrebno zaupati svetovalnemu inženiringu z znanjem in izkušnjami.</w:t>
      </w:r>
      <w:r w:rsidR="00FF0589">
        <w:rPr>
          <w:rFonts w:asciiTheme="minorHAnsi" w:hAnsiTheme="minorHAnsi"/>
          <w:sz w:val="24"/>
          <w:szCs w:val="24"/>
        </w:rPr>
        <w:t xml:space="preserve"> </w:t>
      </w:r>
    </w:p>
    <w:p w:rsidR="00FF0589" w:rsidRDefault="00FF0589" w:rsidP="0088713A">
      <w:pPr>
        <w:spacing w:after="60"/>
        <w:ind w:right="-567"/>
        <w:jc w:val="both"/>
        <w:rPr>
          <w:rFonts w:asciiTheme="minorHAnsi" w:hAnsiTheme="minorHAnsi"/>
          <w:sz w:val="24"/>
          <w:szCs w:val="24"/>
        </w:rPr>
      </w:pPr>
      <w:r>
        <w:rPr>
          <w:rFonts w:asciiTheme="minorHAnsi" w:hAnsiTheme="minorHAnsi"/>
          <w:sz w:val="24"/>
          <w:szCs w:val="24"/>
        </w:rPr>
        <w:t xml:space="preserve">Zgoraj opisano je »Zlato pravilo« vlaganj v prometno infrastrukturo. </w:t>
      </w:r>
      <w:r w:rsidR="0088713A">
        <w:rPr>
          <w:rFonts w:asciiTheme="minorHAnsi" w:hAnsiTheme="minorHAnsi"/>
          <w:sz w:val="24"/>
          <w:szCs w:val="24"/>
        </w:rPr>
        <w:t>Organizirane</w:t>
      </w:r>
      <w:r>
        <w:rPr>
          <w:rFonts w:asciiTheme="minorHAnsi" w:hAnsiTheme="minorHAnsi"/>
          <w:sz w:val="24"/>
          <w:szCs w:val="24"/>
        </w:rPr>
        <w:t xml:space="preserve"> in gospodarsko razvite države delajo natančno tako kot je </w:t>
      </w:r>
      <w:r w:rsidR="0088713A">
        <w:rPr>
          <w:rFonts w:asciiTheme="minorHAnsi" w:hAnsiTheme="minorHAnsi"/>
          <w:sz w:val="24"/>
          <w:szCs w:val="24"/>
        </w:rPr>
        <w:t xml:space="preserve">opisano </w:t>
      </w:r>
      <w:r>
        <w:rPr>
          <w:rFonts w:asciiTheme="minorHAnsi" w:hAnsiTheme="minorHAnsi"/>
          <w:sz w:val="24"/>
          <w:szCs w:val="24"/>
        </w:rPr>
        <w:t>in na primeru Avstrije tudi prikazano v članku.</w:t>
      </w:r>
    </w:p>
    <w:p w:rsidR="00D737CD" w:rsidRDefault="00D737CD" w:rsidP="0088713A">
      <w:pPr>
        <w:spacing w:after="60"/>
        <w:ind w:right="-567"/>
        <w:jc w:val="both"/>
        <w:rPr>
          <w:rFonts w:asciiTheme="minorHAnsi" w:hAnsiTheme="minorHAnsi"/>
          <w:sz w:val="24"/>
          <w:szCs w:val="24"/>
        </w:rPr>
      </w:pPr>
    </w:p>
    <w:p w:rsidR="00C35FC4" w:rsidRDefault="00C35FC4" w:rsidP="0088713A">
      <w:pPr>
        <w:spacing w:after="60"/>
        <w:ind w:right="-567"/>
        <w:jc w:val="both"/>
        <w:rPr>
          <w:rFonts w:asciiTheme="minorHAnsi" w:hAnsiTheme="minorHAnsi"/>
          <w:sz w:val="24"/>
          <w:szCs w:val="24"/>
        </w:rPr>
      </w:pPr>
    </w:p>
    <w:p w:rsidR="00C35FC4" w:rsidRPr="0088713A" w:rsidRDefault="00C35FC4" w:rsidP="0088713A">
      <w:pPr>
        <w:spacing w:after="60"/>
        <w:ind w:right="-567"/>
        <w:jc w:val="both"/>
        <w:rPr>
          <w:rFonts w:asciiTheme="minorHAnsi" w:hAnsiTheme="minorHAnsi"/>
          <w:sz w:val="24"/>
          <w:szCs w:val="24"/>
        </w:rPr>
      </w:pPr>
      <w:r w:rsidRPr="0088713A">
        <w:rPr>
          <w:rFonts w:asciiTheme="minorHAnsi" w:hAnsiTheme="minorHAnsi"/>
          <w:b/>
          <w:sz w:val="24"/>
          <w:szCs w:val="24"/>
        </w:rPr>
        <w:t>Uvodna razmišljanja</w:t>
      </w:r>
    </w:p>
    <w:p w:rsidR="00C35FC4" w:rsidRDefault="00C35FC4" w:rsidP="0088713A">
      <w:pPr>
        <w:spacing w:after="60"/>
        <w:ind w:right="-567"/>
        <w:jc w:val="both"/>
        <w:rPr>
          <w:rFonts w:asciiTheme="minorHAnsi" w:hAnsiTheme="minorHAnsi"/>
          <w:sz w:val="24"/>
          <w:szCs w:val="24"/>
        </w:rPr>
      </w:pPr>
    </w:p>
    <w:p w:rsidR="00C35FC4" w:rsidRDefault="00C35FC4" w:rsidP="0088713A">
      <w:pPr>
        <w:spacing w:after="60"/>
        <w:ind w:right="-567"/>
        <w:jc w:val="both"/>
        <w:rPr>
          <w:rFonts w:asciiTheme="minorHAnsi" w:hAnsiTheme="minorHAnsi"/>
          <w:sz w:val="24"/>
          <w:szCs w:val="24"/>
        </w:rPr>
      </w:pPr>
      <w:r>
        <w:rPr>
          <w:rFonts w:asciiTheme="minorHAnsi" w:hAnsiTheme="minorHAnsi"/>
          <w:sz w:val="24"/>
          <w:szCs w:val="24"/>
        </w:rPr>
        <w:t xml:space="preserve">V Sloveniji so se v zadnjih nekaj letih krepko zmanjšala vlaganja v prometno infrastrukturo. Ta trend se </w:t>
      </w:r>
      <w:r w:rsidR="0088713A">
        <w:rPr>
          <w:rFonts w:asciiTheme="minorHAnsi" w:hAnsiTheme="minorHAnsi"/>
          <w:sz w:val="24"/>
          <w:szCs w:val="24"/>
        </w:rPr>
        <w:t>očitno</w:t>
      </w:r>
      <w:r>
        <w:rPr>
          <w:rFonts w:asciiTheme="minorHAnsi" w:hAnsiTheme="minorHAnsi"/>
          <w:sz w:val="24"/>
          <w:szCs w:val="24"/>
        </w:rPr>
        <w:t xml:space="preserve"> nadaljuje. Ocene kažejo, da se bodo vlaganja </w:t>
      </w:r>
      <w:r w:rsidR="0088713A">
        <w:rPr>
          <w:rFonts w:asciiTheme="minorHAnsi" w:hAnsiTheme="minorHAnsi"/>
          <w:sz w:val="24"/>
          <w:szCs w:val="24"/>
        </w:rPr>
        <w:t xml:space="preserve">ponovno </w:t>
      </w:r>
      <w:r w:rsidR="007D56BD">
        <w:rPr>
          <w:rFonts w:asciiTheme="minorHAnsi" w:hAnsiTheme="minorHAnsi"/>
          <w:sz w:val="24"/>
          <w:szCs w:val="24"/>
        </w:rPr>
        <w:t>znatno</w:t>
      </w:r>
      <w:r>
        <w:rPr>
          <w:rFonts w:asciiTheme="minorHAnsi" w:hAnsiTheme="minorHAnsi"/>
          <w:sz w:val="24"/>
          <w:szCs w:val="24"/>
        </w:rPr>
        <w:t xml:space="preserve"> zmanjšala</w:t>
      </w:r>
      <w:r w:rsidR="008A3E3D">
        <w:rPr>
          <w:rFonts w:asciiTheme="minorHAnsi" w:hAnsiTheme="minorHAnsi"/>
          <w:sz w:val="24"/>
          <w:szCs w:val="24"/>
        </w:rPr>
        <w:t>.</w:t>
      </w:r>
      <w:r>
        <w:rPr>
          <w:rFonts w:asciiTheme="minorHAnsi" w:hAnsiTheme="minorHAnsi"/>
          <w:sz w:val="24"/>
          <w:szCs w:val="24"/>
        </w:rPr>
        <w:t xml:space="preserve"> Pretekla </w:t>
      </w:r>
      <w:r w:rsidR="008A3E3D">
        <w:rPr>
          <w:rFonts w:asciiTheme="minorHAnsi" w:hAnsiTheme="minorHAnsi"/>
          <w:sz w:val="24"/>
          <w:szCs w:val="24"/>
        </w:rPr>
        <w:t xml:space="preserve">finančna </w:t>
      </w:r>
      <w:r>
        <w:rPr>
          <w:rFonts w:asciiTheme="minorHAnsi" w:hAnsiTheme="minorHAnsi"/>
          <w:sz w:val="24"/>
          <w:szCs w:val="24"/>
        </w:rPr>
        <w:t>perspektiva se izteka</w:t>
      </w:r>
      <w:r w:rsidR="0088713A">
        <w:rPr>
          <w:rFonts w:asciiTheme="minorHAnsi" w:hAnsiTheme="minorHAnsi"/>
          <w:sz w:val="24"/>
          <w:szCs w:val="24"/>
        </w:rPr>
        <w:t>,</w:t>
      </w:r>
      <w:r w:rsidR="001D54C3">
        <w:rPr>
          <w:rFonts w:asciiTheme="minorHAnsi" w:hAnsiTheme="minorHAnsi"/>
          <w:sz w:val="24"/>
          <w:szCs w:val="24"/>
        </w:rPr>
        <w:t xml:space="preserve"> </w:t>
      </w:r>
      <w:r w:rsidR="0088713A">
        <w:rPr>
          <w:rFonts w:asciiTheme="minorHAnsi" w:hAnsiTheme="minorHAnsi"/>
          <w:sz w:val="24"/>
          <w:szCs w:val="24"/>
        </w:rPr>
        <w:t>v novi pa so</w:t>
      </w:r>
      <w:r w:rsidR="001D54C3">
        <w:rPr>
          <w:rFonts w:asciiTheme="minorHAnsi" w:hAnsiTheme="minorHAnsi"/>
          <w:sz w:val="24"/>
          <w:szCs w:val="24"/>
        </w:rPr>
        <w:t xml:space="preserve"> prometni infrastrukturi </w:t>
      </w:r>
      <w:r w:rsidR="0088713A">
        <w:rPr>
          <w:rFonts w:asciiTheme="minorHAnsi" w:hAnsiTheme="minorHAnsi"/>
          <w:sz w:val="24"/>
          <w:szCs w:val="24"/>
        </w:rPr>
        <w:t>odmerjena</w:t>
      </w:r>
      <w:r w:rsidR="001D54C3">
        <w:rPr>
          <w:rFonts w:asciiTheme="minorHAnsi" w:hAnsiTheme="minorHAnsi"/>
          <w:sz w:val="24"/>
          <w:szCs w:val="24"/>
        </w:rPr>
        <w:t xml:space="preserve"> relativno </w:t>
      </w:r>
      <w:r w:rsidR="0088713A">
        <w:rPr>
          <w:rFonts w:asciiTheme="minorHAnsi" w:hAnsiTheme="minorHAnsi"/>
          <w:sz w:val="24"/>
          <w:szCs w:val="24"/>
        </w:rPr>
        <w:t>omejena sredstva</w:t>
      </w:r>
      <w:r w:rsidR="001D54C3">
        <w:rPr>
          <w:rFonts w:asciiTheme="minorHAnsi" w:hAnsiTheme="minorHAnsi"/>
          <w:sz w:val="24"/>
          <w:szCs w:val="24"/>
        </w:rPr>
        <w:t>.</w:t>
      </w:r>
      <w:r w:rsidR="007D56BD">
        <w:rPr>
          <w:rFonts w:asciiTheme="minorHAnsi" w:hAnsiTheme="minorHAnsi"/>
          <w:sz w:val="24"/>
          <w:szCs w:val="24"/>
        </w:rPr>
        <w:t xml:space="preserve"> Novi razrez proračuna MzI</w:t>
      </w:r>
      <w:r w:rsidR="00F64869">
        <w:rPr>
          <w:rFonts w:asciiTheme="minorHAnsi" w:hAnsiTheme="minorHAnsi"/>
          <w:sz w:val="24"/>
          <w:szCs w:val="24"/>
        </w:rPr>
        <w:t xml:space="preserve"> za prihodnji dve leti kaže na občutno znižanje sredstev za prometno infrastrukturo</w:t>
      </w:r>
      <w:r w:rsidR="0088713A">
        <w:rPr>
          <w:rFonts w:asciiTheme="minorHAnsi" w:hAnsiTheme="minorHAnsi"/>
          <w:sz w:val="24"/>
          <w:szCs w:val="24"/>
        </w:rPr>
        <w:t>.</w:t>
      </w:r>
      <w:r w:rsidR="00F64869">
        <w:rPr>
          <w:rFonts w:asciiTheme="minorHAnsi" w:hAnsiTheme="minorHAnsi"/>
          <w:sz w:val="24"/>
          <w:szCs w:val="24"/>
        </w:rPr>
        <w:t xml:space="preserve"> Kako nadomestiti 30 %</w:t>
      </w:r>
      <w:r w:rsidR="00423122">
        <w:rPr>
          <w:rFonts w:asciiTheme="minorHAnsi" w:hAnsiTheme="minorHAnsi"/>
          <w:sz w:val="24"/>
          <w:szCs w:val="24"/>
        </w:rPr>
        <w:t xml:space="preserve"> </w:t>
      </w:r>
      <w:r w:rsidR="00F64869">
        <w:rPr>
          <w:rFonts w:asciiTheme="minorHAnsi" w:hAnsiTheme="minorHAnsi"/>
          <w:sz w:val="24"/>
          <w:szCs w:val="24"/>
        </w:rPr>
        <w:t>znižanje sredstev iz proračuna</w:t>
      </w:r>
      <w:r w:rsidR="0088713A">
        <w:rPr>
          <w:rFonts w:asciiTheme="minorHAnsi" w:hAnsiTheme="minorHAnsi"/>
          <w:sz w:val="24"/>
          <w:szCs w:val="24"/>
        </w:rPr>
        <w:t xml:space="preserve"> za investicije v prometno infrastrukturo</w:t>
      </w:r>
      <w:r w:rsidR="00F64869">
        <w:rPr>
          <w:rFonts w:asciiTheme="minorHAnsi" w:hAnsiTheme="minorHAnsi"/>
          <w:sz w:val="24"/>
          <w:szCs w:val="24"/>
        </w:rPr>
        <w:t xml:space="preserve">, da ne bomo ponovno soočeni z ekstremnim padcem gradbene in inženirske </w:t>
      </w:r>
      <w:r w:rsidR="00153EE0">
        <w:rPr>
          <w:rFonts w:asciiTheme="minorHAnsi" w:hAnsiTheme="minorHAnsi"/>
          <w:sz w:val="24"/>
          <w:szCs w:val="24"/>
        </w:rPr>
        <w:t>dejavnosti</w:t>
      </w:r>
      <w:r w:rsidR="00F64869">
        <w:rPr>
          <w:rFonts w:asciiTheme="minorHAnsi" w:hAnsiTheme="minorHAnsi"/>
          <w:sz w:val="24"/>
          <w:szCs w:val="24"/>
        </w:rPr>
        <w:t xml:space="preserve">? </w:t>
      </w:r>
    </w:p>
    <w:p w:rsidR="00C35FC4" w:rsidRPr="00237A43" w:rsidRDefault="00C35FC4" w:rsidP="0088713A">
      <w:pPr>
        <w:spacing w:after="60"/>
        <w:ind w:right="-567"/>
        <w:jc w:val="both"/>
        <w:rPr>
          <w:rFonts w:asciiTheme="minorHAnsi" w:hAnsiTheme="minorHAnsi"/>
          <w:sz w:val="24"/>
          <w:szCs w:val="24"/>
        </w:rPr>
      </w:pPr>
    </w:p>
    <w:p w:rsidR="00C35FC4" w:rsidRDefault="00F64869" w:rsidP="0088713A">
      <w:pPr>
        <w:spacing w:after="60"/>
        <w:ind w:right="-567"/>
        <w:jc w:val="both"/>
        <w:rPr>
          <w:rFonts w:asciiTheme="minorHAnsi" w:hAnsiTheme="minorHAnsi"/>
          <w:sz w:val="24"/>
          <w:szCs w:val="24"/>
        </w:rPr>
      </w:pPr>
      <w:r>
        <w:rPr>
          <w:rFonts w:asciiTheme="minorHAnsi" w:hAnsiTheme="minorHAnsi"/>
          <w:sz w:val="24"/>
          <w:szCs w:val="24"/>
        </w:rPr>
        <w:lastRenderedPageBreak/>
        <w:t>Na žalost</w:t>
      </w:r>
      <w:r w:rsidR="00C35FC4" w:rsidRPr="00237A43">
        <w:rPr>
          <w:rFonts w:asciiTheme="minorHAnsi" w:hAnsiTheme="minorHAnsi"/>
          <w:sz w:val="24"/>
          <w:szCs w:val="24"/>
        </w:rPr>
        <w:t xml:space="preserve"> čas</w:t>
      </w:r>
      <w:r w:rsidR="00BD17AC">
        <w:rPr>
          <w:rFonts w:asciiTheme="minorHAnsi" w:hAnsiTheme="minorHAnsi"/>
          <w:sz w:val="24"/>
          <w:szCs w:val="24"/>
        </w:rPr>
        <w:t>,</w:t>
      </w:r>
      <w:r w:rsidR="00C35FC4" w:rsidRPr="00237A43">
        <w:rPr>
          <w:rFonts w:asciiTheme="minorHAnsi" w:hAnsiTheme="minorHAnsi"/>
          <w:sz w:val="24"/>
          <w:szCs w:val="24"/>
        </w:rPr>
        <w:t xml:space="preserve"> zelo zma</w:t>
      </w:r>
      <w:r w:rsidR="00C35FC4">
        <w:rPr>
          <w:rFonts w:asciiTheme="minorHAnsi" w:hAnsiTheme="minorHAnsi"/>
          <w:sz w:val="24"/>
          <w:szCs w:val="24"/>
        </w:rPr>
        <w:t>njšane investicijske dejavnosti</w:t>
      </w:r>
      <w:r w:rsidR="00BD17AC">
        <w:rPr>
          <w:rFonts w:asciiTheme="minorHAnsi" w:hAnsiTheme="minorHAnsi"/>
          <w:sz w:val="24"/>
          <w:szCs w:val="24"/>
        </w:rPr>
        <w:t>,</w:t>
      </w:r>
      <w:r w:rsidR="00C35FC4">
        <w:rPr>
          <w:rFonts w:asciiTheme="minorHAnsi" w:hAnsiTheme="minorHAnsi"/>
          <w:sz w:val="24"/>
          <w:szCs w:val="24"/>
        </w:rPr>
        <w:t xml:space="preserve"> </w:t>
      </w:r>
      <w:r>
        <w:rPr>
          <w:rFonts w:asciiTheme="minorHAnsi" w:hAnsiTheme="minorHAnsi"/>
          <w:sz w:val="24"/>
          <w:szCs w:val="24"/>
        </w:rPr>
        <w:t>ne izkoriščamo dovolj</w:t>
      </w:r>
      <w:r w:rsidR="00C35FC4">
        <w:rPr>
          <w:rFonts w:asciiTheme="minorHAnsi" w:hAnsiTheme="minorHAnsi"/>
          <w:sz w:val="24"/>
          <w:szCs w:val="24"/>
        </w:rPr>
        <w:t xml:space="preserve"> za pripravo novih projektov. Pri tem je</w:t>
      </w:r>
      <w:r w:rsidR="00BD17AC">
        <w:rPr>
          <w:rFonts w:asciiTheme="minorHAnsi" w:hAnsiTheme="minorHAnsi"/>
          <w:sz w:val="24"/>
          <w:szCs w:val="24"/>
        </w:rPr>
        <w:t>,</w:t>
      </w:r>
      <w:r w:rsidR="00C35FC4">
        <w:rPr>
          <w:rFonts w:asciiTheme="minorHAnsi" w:hAnsiTheme="minorHAnsi"/>
          <w:sz w:val="24"/>
          <w:szCs w:val="24"/>
        </w:rPr>
        <w:t xml:space="preserve"> poleg finančnih razlogov</w:t>
      </w:r>
      <w:r w:rsidR="00BD17AC">
        <w:rPr>
          <w:rFonts w:asciiTheme="minorHAnsi" w:hAnsiTheme="minorHAnsi"/>
          <w:sz w:val="24"/>
          <w:szCs w:val="24"/>
        </w:rPr>
        <w:t>,</w:t>
      </w:r>
      <w:r w:rsidR="00C35FC4">
        <w:rPr>
          <w:rFonts w:asciiTheme="minorHAnsi" w:hAnsiTheme="minorHAnsi"/>
          <w:sz w:val="24"/>
          <w:szCs w:val="24"/>
        </w:rPr>
        <w:t xml:space="preserve"> zelo čutiti odsotnost </w:t>
      </w:r>
      <w:r w:rsidR="00C35FC4" w:rsidRPr="007C075A">
        <w:rPr>
          <w:rFonts w:asciiTheme="minorHAnsi" w:hAnsiTheme="minorHAnsi"/>
          <w:sz w:val="24"/>
          <w:szCs w:val="24"/>
        </w:rPr>
        <w:t>jasnih programov na posameznih področjih, ki bi omogočili optimalno načrtovanje, pripravo novih i</w:t>
      </w:r>
      <w:r w:rsidR="00C35FC4">
        <w:rPr>
          <w:rFonts w:asciiTheme="minorHAnsi" w:hAnsiTheme="minorHAnsi"/>
          <w:sz w:val="24"/>
          <w:szCs w:val="24"/>
        </w:rPr>
        <w:t>nvesticij in stabilno</w:t>
      </w:r>
      <w:r w:rsidR="00C35FC4" w:rsidRPr="007C075A">
        <w:rPr>
          <w:rFonts w:asciiTheme="minorHAnsi" w:hAnsiTheme="minorHAnsi"/>
          <w:sz w:val="24"/>
          <w:szCs w:val="24"/>
        </w:rPr>
        <w:t xml:space="preserve"> pridobivanje poslov slovenskemu gospodarstvu</w:t>
      </w:r>
      <w:r w:rsidR="00C35FC4">
        <w:rPr>
          <w:rFonts w:asciiTheme="minorHAnsi" w:hAnsiTheme="minorHAnsi"/>
          <w:sz w:val="24"/>
          <w:szCs w:val="24"/>
        </w:rPr>
        <w:t xml:space="preserve">. Iz primerjav z uspešnejšimi </w:t>
      </w:r>
      <w:r w:rsidR="008A3E3D">
        <w:rPr>
          <w:rFonts w:asciiTheme="minorHAnsi" w:hAnsiTheme="minorHAnsi"/>
          <w:sz w:val="24"/>
          <w:szCs w:val="24"/>
        </w:rPr>
        <w:t xml:space="preserve">in </w:t>
      </w:r>
      <w:r w:rsidR="00C35FC4">
        <w:rPr>
          <w:rFonts w:asciiTheme="minorHAnsi" w:hAnsiTheme="minorHAnsi"/>
          <w:sz w:val="24"/>
          <w:szCs w:val="24"/>
        </w:rPr>
        <w:t>razvitimi državami npr. Avstrijo</w:t>
      </w:r>
      <w:r w:rsidR="008A3E3D">
        <w:rPr>
          <w:rFonts w:asciiTheme="minorHAnsi" w:hAnsiTheme="minorHAnsi"/>
          <w:sz w:val="24"/>
          <w:szCs w:val="24"/>
        </w:rPr>
        <w:t>,</w:t>
      </w:r>
      <w:r w:rsidR="00C35FC4">
        <w:rPr>
          <w:rFonts w:asciiTheme="minorHAnsi" w:hAnsiTheme="minorHAnsi"/>
          <w:sz w:val="24"/>
          <w:szCs w:val="24"/>
        </w:rPr>
        <w:t xml:space="preserve"> vidimo, da tam to delajo drugače. Vlaganja v prometno infrastrukturo so veliko</w:t>
      </w:r>
      <w:r w:rsidR="0088713A">
        <w:rPr>
          <w:rFonts w:asciiTheme="minorHAnsi" w:hAnsiTheme="minorHAnsi"/>
          <w:sz w:val="24"/>
          <w:szCs w:val="24"/>
        </w:rPr>
        <w:t xml:space="preserve"> bolj organizirana, stabilna in</w:t>
      </w:r>
      <w:r w:rsidR="00C35FC4">
        <w:rPr>
          <w:rFonts w:asciiTheme="minorHAnsi" w:hAnsiTheme="minorHAnsi"/>
          <w:sz w:val="24"/>
          <w:szCs w:val="24"/>
        </w:rPr>
        <w:t xml:space="preserve"> dolgoročna.</w:t>
      </w:r>
    </w:p>
    <w:p w:rsidR="00C35FC4" w:rsidRDefault="00C35FC4" w:rsidP="0088713A">
      <w:pPr>
        <w:spacing w:after="60"/>
        <w:ind w:right="-567"/>
        <w:jc w:val="both"/>
        <w:rPr>
          <w:rFonts w:asciiTheme="minorHAnsi" w:hAnsiTheme="minorHAnsi"/>
          <w:sz w:val="24"/>
          <w:szCs w:val="24"/>
        </w:rPr>
      </w:pPr>
    </w:p>
    <w:p w:rsidR="00C35FC4" w:rsidRPr="007C075A" w:rsidRDefault="00C35FC4" w:rsidP="0088713A">
      <w:pPr>
        <w:spacing w:after="60"/>
        <w:ind w:right="-567"/>
        <w:jc w:val="both"/>
        <w:rPr>
          <w:rFonts w:asciiTheme="minorHAnsi" w:hAnsiTheme="minorHAnsi"/>
          <w:sz w:val="24"/>
          <w:szCs w:val="24"/>
        </w:rPr>
      </w:pPr>
      <w:r w:rsidRPr="007C075A">
        <w:rPr>
          <w:rFonts w:asciiTheme="minorHAnsi" w:hAnsiTheme="minorHAnsi"/>
          <w:sz w:val="24"/>
          <w:szCs w:val="24"/>
        </w:rPr>
        <w:t>Ocenjevanje in vrednotenje prometne infrastrukture mora potekati celovito, z obravnavanjem celotnih smeri, s finančno in časovno komponento ter seveda z zahtevanim standardom sistema, ki ga želimo doseči. Če bomo iz celote kar naprej izdvajali samo posamezni in najdražji odsek, se bomo še naprej vrteli v začaranem k</w:t>
      </w:r>
      <w:r w:rsidR="00226575">
        <w:rPr>
          <w:rFonts w:asciiTheme="minorHAnsi" w:hAnsiTheme="minorHAnsi"/>
          <w:sz w:val="24"/>
          <w:szCs w:val="24"/>
        </w:rPr>
        <w:t>rogu</w:t>
      </w:r>
      <w:r w:rsidR="0088713A">
        <w:rPr>
          <w:rFonts w:asciiTheme="minorHAnsi" w:hAnsiTheme="minorHAnsi"/>
          <w:sz w:val="24"/>
          <w:szCs w:val="24"/>
        </w:rPr>
        <w:t xml:space="preserve"> (3. razvojna os, 2. tir,…)</w:t>
      </w:r>
      <w:r w:rsidR="00226575">
        <w:rPr>
          <w:rFonts w:asciiTheme="minorHAnsi" w:hAnsiTheme="minorHAnsi"/>
          <w:sz w:val="24"/>
          <w:szCs w:val="24"/>
        </w:rPr>
        <w:t xml:space="preserve">. In namesto, da bi delali in ustvarjali, bomo </w:t>
      </w:r>
      <w:r w:rsidR="0088713A">
        <w:rPr>
          <w:rFonts w:asciiTheme="minorHAnsi" w:hAnsiTheme="minorHAnsi"/>
          <w:sz w:val="24"/>
          <w:szCs w:val="24"/>
        </w:rPr>
        <w:t>še naprej razpravljali</w:t>
      </w:r>
      <w:r w:rsidR="00226575">
        <w:rPr>
          <w:rFonts w:asciiTheme="minorHAnsi" w:hAnsiTheme="minorHAnsi"/>
          <w:sz w:val="24"/>
          <w:szCs w:val="24"/>
        </w:rPr>
        <w:t xml:space="preserve"> ter</w:t>
      </w:r>
      <w:r w:rsidRPr="007C075A">
        <w:rPr>
          <w:rFonts w:asciiTheme="minorHAnsi" w:hAnsiTheme="minorHAnsi"/>
          <w:sz w:val="24"/>
          <w:szCs w:val="24"/>
        </w:rPr>
        <w:t xml:space="preserve"> brez učinka trošili čas in denar.</w:t>
      </w:r>
      <w:r>
        <w:rPr>
          <w:rFonts w:asciiTheme="minorHAnsi" w:hAnsiTheme="minorHAnsi"/>
          <w:sz w:val="24"/>
          <w:szCs w:val="24"/>
        </w:rPr>
        <w:t xml:space="preserve"> </w:t>
      </w:r>
      <w:r w:rsidR="00F64869">
        <w:rPr>
          <w:rFonts w:asciiTheme="minorHAnsi" w:hAnsiTheme="minorHAnsi"/>
          <w:sz w:val="24"/>
          <w:szCs w:val="24"/>
        </w:rPr>
        <w:t xml:space="preserve">Prav tako je pomembno, da se glavna javna investitorja (Direkcija </w:t>
      </w:r>
      <w:r w:rsidR="0088713A">
        <w:rPr>
          <w:rFonts w:asciiTheme="minorHAnsi" w:hAnsiTheme="minorHAnsi"/>
          <w:sz w:val="24"/>
          <w:szCs w:val="24"/>
        </w:rPr>
        <w:t xml:space="preserve">RS </w:t>
      </w:r>
      <w:r w:rsidR="00F64869">
        <w:rPr>
          <w:rFonts w:asciiTheme="minorHAnsi" w:hAnsiTheme="minorHAnsi"/>
          <w:sz w:val="24"/>
          <w:szCs w:val="24"/>
        </w:rPr>
        <w:t>za infrastrukturo in DARS), ki pokrivata državne ceste, železnice in avtoceste med seboj usklajujeta in zagotavljata stabilne plane investicij. Ko je v proračunu manj sredstev</w:t>
      </w:r>
      <w:r w:rsidR="0088713A">
        <w:rPr>
          <w:rFonts w:asciiTheme="minorHAnsi" w:hAnsiTheme="minorHAnsi"/>
          <w:sz w:val="24"/>
          <w:szCs w:val="24"/>
        </w:rPr>
        <w:t>,</w:t>
      </w:r>
      <w:r w:rsidR="00F64869">
        <w:rPr>
          <w:rFonts w:asciiTheme="minorHAnsi" w:hAnsiTheme="minorHAnsi"/>
          <w:sz w:val="24"/>
          <w:szCs w:val="24"/>
        </w:rPr>
        <w:t xml:space="preserve"> mora vskočiti DARS in obratno. Vse v cilju enakomernih vlaganj na ceste in železnice, kar omogoča delovanje industrije in ima ustrezen učinek na ekonomijo države.</w:t>
      </w:r>
    </w:p>
    <w:p w:rsidR="00A943DD" w:rsidRDefault="00A943DD" w:rsidP="0088713A">
      <w:pPr>
        <w:spacing w:after="60"/>
        <w:ind w:right="-567"/>
        <w:jc w:val="both"/>
        <w:rPr>
          <w:rFonts w:asciiTheme="minorHAnsi" w:hAnsiTheme="minorHAnsi"/>
          <w:sz w:val="24"/>
          <w:szCs w:val="24"/>
        </w:rPr>
      </w:pPr>
    </w:p>
    <w:p w:rsidR="00A943DD" w:rsidRDefault="00A943DD" w:rsidP="0088713A">
      <w:pPr>
        <w:spacing w:after="60"/>
        <w:ind w:right="-567"/>
        <w:jc w:val="both"/>
        <w:rPr>
          <w:rFonts w:asciiTheme="minorHAnsi" w:hAnsiTheme="minorHAnsi"/>
          <w:sz w:val="24"/>
          <w:szCs w:val="24"/>
        </w:rPr>
      </w:pPr>
      <w:r>
        <w:rPr>
          <w:rFonts w:asciiTheme="minorHAnsi" w:hAnsiTheme="minorHAnsi"/>
          <w:sz w:val="24"/>
          <w:szCs w:val="24"/>
        </w:rPr>
        <w:t>Vlaganje v državno infrastrukturo je eden pomembnih dejavnikov rasti BDP</w:t>
      </w:r>
      <w:r w:rsidR="0088713A">
        <w:rPr>
          <w:rFonts w:asciiTheme="minorHAnsi" w:hAnsiTheme="minorHAnsi"/>
          <w:sz w:val="24"/>
          <w:szCs w:val="24"/>
        </w:rPr>
        <w:t>-</w:t>
      </w:r>
      <w:r>
        <w:rPr>
          <w:rFonts w:asciiTheme="minorHAnsi" w:hAnsiTheme="minorHAnsi"/>
          <w:sz w:val="24"/>
          <w:szCs w:val="24"/>
        </w:rPr>
        <w:t xml:space="preserve">ja. Kakšen vpliv imajo investicije na BDP kaže </w:t>
      </w:r>
      <w:r w:rsidR="00423122">
        <w:rPr>
          <w:rFonts w:asciiTheme="minorHAnsi" w:hAnsiTheme="minorHAnsi"/>
          <w:sz w:val="24"/>
          <w:szCs w:val="24"/>
        </w:rPr>
        <w:t>diagram št.1</w:t>
      </w:r>
      <w:r w:rsidR="0088713A">
        <w:rPr>
          <w:rFonts w:asciiTheme="minorHAnsi" w:hAnsiTheme="minorHAnsi"/>
          <w:sz w:val="24"/>
          <w:szCs w:val="24"/>
        </w:rPr>
        <w:t>.</w:t>
      </w:r>
    </w:p>
    <w:p w:rsidR="00A943DD" w:rsidRDefault="00A943DD" w:rsidP="0088713A">
      <w:pPr>
        <w:spacing w:after="60"/>
        <w:ind w:right="-567"/>
        <w:jc w:val="both"/>
        <w:rPr>
          <w:rFonts w:asciiTheme="minorHAnsi" w:hAnsiTheme="minorHAnsi"/>
          <w:sz w:val="24"/>
          <w:szCs w:val="24"/>
        </w:rPr>
      </w:pPr>
    </w:p>
    <w:p w:rsidR="00A943DD" w:rsidRDefault="00A943DD" w:rsidP="0088713A">
      <w:pPr>
        <w:spacing w:after="60"/>
        <w:ind w:right="-567"/>
        <w:jc w:val="both"/>
        <w:rPr>
          <w:rFonts w:asciiTheme="minorHAnsi" w:hAnsiTheme="minorHAnsi"/>
          <w:sz w:val="24"/>
          <w:szCs w:val="24"/>
        </w:rPr>
      </w:pPr>
      <w:r w:rsidRPr="00A943DD">
        <w:rPr>
          <w:rFonts w:asciiTheme="minorHAnsi" w:hAnsiTheme="minorHAnsi"/>
          <w:noProof/>
          <w:sz w:val="24"/>
          <w:szCs w:val="24"/>
          <w:lang w:eastAsia="sl-SI"/>
        </w:rPr>
        <w:drawing>
          <wp:inline distT="0" distB="0" distL="0" distR="0">
            <wp:extent cx="3928843" cy="2575267"/>
            <wp:effectExtent l="19050" t="0" r="0" b="0"/>
            <wp:docPr id="4" name="Slika 1" descr="https://damijanweblog.files.wordpress.com/2014/10/bdp_korde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ijanweblog.files.wordpress.com/2014/10/bdp_kordez2.png"/>
                    <pic:cNvPicPr>
                      <a:picLocks noChangeAspect="1" noChangeArrowheads="1"/>
                    </pic:cNvPicPr>
                  </pic:nvPicPr>
                  <pic:blipFill>
                    <a:blip r:embed="rId8" cstate="print"/>
                    <a:srcRect/>
                    <a:stretch>
                      <a:fillRect/>
                    </a:stretch>
                  </pic:blipFill>
                  <pic:spPr bwMode="auto">
                    <a:xfrm>
                      <a:off x="0" y="0"/>
                      <a:ext cx="3931719" cy="2577152"/>
                    </a:xfrm>
                    <a:prstGeom prst="rect">
                      <a:avLst/>
                    </a:prstGeom>
                    <a:noFill/>
                    <a:ln w="9525">
                      <a:noFill/>
                      <a:miter lim="800000"/>
                      <a:headEnd/>
                      <a:tailEnd/>
                    </a:ln>
                  </pic:spPr>
                </pic:pic>
              </a:graphicData>
            </a:graphic>
          </wp:inline>
        </w:drawing>
      </w:r>
    </w:p>
    <w:p w:rsidR="00C35FC4" w:rsidRPr="007227F7" w:rsidRDefault="00A943DD" w:rsidP="0088713A">
      <w:pPr>
        <w:spacing w:after="60"/>
        <w:ind w:right="-567"/>
        <w:jc w:val="both"/>
        <w:rPr>
          <w:rFonts w:asciiTheme="minorHAnsi" w:hAnsiTheme="minorHAnsi"/>
          <w:i/>
          <w:sz w:val="20"/>
          <w:szCs w:val="20"/>
        </w:rPr>
      </w:pPr>
      <w:r w:rsidRPr="007227F7">
        <w:rPr>
          <w:rFonts w:asciiTheme="minorHAnsi" w:hAnsiTheme="minorHAnsi"/>
          <w:b/>
          <w:i/>
          <w:sz w:val="20"/>
          <w:szCs w:val="20"/>
        </w:rPr>
        <w:t>Diagram št. 1</w:t>
      </w:r>
      <w:r w:rsidR="00FF0589" w:rsidRPr="007227F7">
        <w:rPr>
          <w:rFonts w:asciiTheme="minorHAnsi" w:hAnsiTheme="minorHAnsi"/>
          <w:b/>
          <w:i/>
          <w:sz w:val="20"/>
          <w:szCs w:val="20"/>
        </w:rPr>
        <w:t>:</w:t>
      </w:r>
      <w:r w:rsidRPr="007227F7">
        <w:rPr>
          <w:rFonts w:asciiTheme="minorHAnsi" w:hAnsiTheme="minorHAnsi"/>
          <w:i/>
          <w:sz w:val="20"/>
          <w:szCs w:val="20"/>
        </w:rPr>
        <w:t xml:space="preserve"> Vp</w:t>
      </w:r>
      <w:r w:rsidR="00423122" w:rsidRPr="007227F7">
        <w:rPr>
          <w:rFonts w:asciiTheme="minorHAnsi" w:hAnsiTheme="minorHAnsi"/>
          <w:i/>
          <w:sz w:val="20"/>
          <w:szCs w:val="20"/>
        </w:rPr>
        <w:t>liv investicij na rast BDP</w:t>
      </w:r>
      <w:r w:rsidRPr="007227F7">
        <w:rPr>
          <w:rFonts w:asciiTheme="minorHAnsi" w:hAnsiTheme="minorHAnsi"/>
          <w:i/>
          <w:sz w:val="20"/>
          <w:szCs w:val="20"/>
        </w:rPr>
        <w:t xml:space="preserve"> – vir: </w:t>
      </w:r>
      <w:r w:rsidR="00423122" w:rsidRPr="007227F7">
        <w:rPr>
          <w:rFonts w:asciiTheme="minorHAnsi" w:hAnsiTheme="minorHAnsi"/>
          <w:i/>
          <w:sz w:val="20"/>
          <w:szCs w:val="20"/>
        </w:rPr>
        <w:t xml:space="preserve">blog </w:t>
      </w:r>
      <w:r w:rsidRPr="007227F7">
        <w:rPr>
          <w:rFonts w:asciiTheme="minorHAnsi" w:hAnsiTheme="minorHAnsi"/>
          <w:i/>
          <w:sz w:val="20"/>
          <w:szCs w:val="20"/>
        </w:rPr>
        <w:t xml:space="preserve">Damjan </w:t>
      </w:r>
      <w:r w:rsidR="00226575" w:rsidRPr="007227F7">
        <w:rPr>
          <w:rFonts w:asciiTheme="minorHAnsi" w:hAnsiTheme="minorHAnsi"/>
          <w:i/>
          <w:sz w:val="20"/>
          <w:szCs w:val="20"/>
        </w:rPr>
        <w:t xml:space="preserve">- </w:t>
      </w:r>
      <w:r w:rsidRPr="007227F7">
        <w:rPr>
          <w:rFonts w:asciiTheme="minorHAnsi" w:hAnsiTheme="minorHAnsi"/>
          <w:i/>
          <w:sz w:val="20"/>
          <w:szCs w:val="20"/>
        </w:rPr>
        <w:t>Kordež oktober 2014</w:t>
      </w:r>
    </w:p>
    <w:p w:rsidR="00423122" w:rsidRPr="00423122" w:rsidRDefault="00423122" w:rsidP="0088713A">
      <w:pPr>
        <w:pStyle w:val="Odstavekseznama"/>
        <w:spacing w:after="60"/>
        <w:ind w:left="1440" w:right="-567"/>
        <w:jc w:val="both"/>
        <w:rPr>
          <w:rFonts w:asciiTheme="minorHAnsi" w:hAnsiTheme="minorHAnsi"/>
          <w:sz w:val="24"/>
          <w:szCs w:val="24"/>
        </w:rPr>
      </w:pPr>
    </w:p>
    <w:p w:rsidR="00423122" w:rsidRPr="0088713A" w:rsidRDefault="00423122" w:rsidP="0088713A">
      <w:pPr>
        <w:spacing w:after="60"/>
        <w:ind w:right="-567"/>
        <w:jc w:val="both"/>
        <w:rPr>
          <w:rFonts w:asciiTheme="minorHAnsi" w:hAnsiTheme="minorHAnsi"/>
          <w:b/>
          <w:sz w:val="24"/>
          <w:szCs w:val="24"/>
        </w:rPr>
      </w:pPr>
      <w:r w:rsidRPr="0088713A">
        <w:rPr>
          <w:rFonts w:asciiTheme="minorHAnsi" w:hAnsiTheme="minorHAnsi"/>
          <w:b/>
          <w:sz w:val="24"/>
          <w:szCs w:val="24"/>
        </w:rPr>
        <w:t xml:space="preserve">Tveganj pri gradnji prometne infrastrukture v Sloveniji </w:t>
      </w:r>
      <w:r w:rsidR="00B033A4" w:rsidRPr="0088713A">
        <w:rPr>
          <w:rFonts w:asciiTheme="minorHAnsi" w:hAnsiTheme="minorHAnsi"/>
          <w:b/>
          <w:sz w:val="24"/>
          <w:szCs w:val="24"/>
        </w:rPr>
        <w:t>ni</w:t>
      </w:r>
    </w:p>
    <w:p w:rsidR="00C35FC4" w:rsidRPr="007C075A" w:rsidRDefault="00C35FC4" w:rsidP="0088713A">
      <w:pPr>
        <w:spacing w:after="60"/>
        <w:ind w:right="-567"/>
        <w:jc w:val="both"/>
        <w:rPr>
          <w:rFonts w:asciiTheme="minorHAnsi" w:hAnsiTheme="minorHAnsi"/>
          <w:sz w:val="24"/>
          <w:szCs w:val="24"/>
        </w:rPr>
      </w:pPr>
    </w:p>
    <w:p w:rsidR="00C35FC4" w:rsidRDefault="00C35FC4" w:rsidP="0088713A">
      <w:pPr>
        <w:spacing w:after="60"/>
        <w:ind w:right="-567"/>
        <w:jc w:val="both"/>
        <w:rPr>
          <w:rFonts w:asciiTheme="minorHAnsi" w:hAnsiTheme="minorHAnsi"/>
          <w:sz w:val="24"/>
          <w:szCs w:val="24"/>
        </w:rPr>
      </w:pPr>
      <w:r w:rsidRPr="007C075A">
        <w:rPr>
          <w:rFonts w:asciiTheme="minorHAnsi" w:hAnsiTheme="minorHAnsi"/>
          <w:sz w:val="24"/>
          <w:szCs w:val="24"/>
        </w:rPr>
        <w:t>Slovenija ima nekatere danosti, med katere spada tudi geografska lega. Preko Slovenije vodijo najkrajše poti v tem delu Evrope in povezava z morjem, po katerem se v svetovnem merilu odvija več kot 90 % celotnega tovora. Promet in z njim povezane dejavnosti so</w:t>
      </w:r>
      <w:r>
        <w:rPr>
          <w:rFonts w:asciiTheme="minorHAnsi" w:hAnsiTheme="minorHAnsi"/>
          <w:sz w:val="24"/>
          <w:szCs w:val="24"/>
        </w:rPr>
        <w:t xml:space="preserve"> ena naših redkih  strateških</w:t>
      </w:r>
      <w:r w:rsidRPr="007C075A">
        <w:rPr>
          <w:rFonts w:asciiTheme="minorHAnsi" w:hAnsiTheme="minorHAnsi"/>
          <w:sz w:val="24"/>
          <w:szCs w:val="24"/>
        </w:rPr>
        <w:t xml:space="preserve"> prednost</w:t>
      </w:r>
      <w:r>
        <w:rPr>
          <w:rFonts w:asciiTheme="minorHAnsi" w:hAnsiTheme="minorHAnsi"/>
          <w:sz w:val="24"/>
          <w:szCs w:val="24"/>
        </w:rPr>
        <w:t>i. Pri tem so zelo pomembna</w:t>
      </w:r>
      <w:r w:rsidRPr="007C075A">
        <w:rPr>
          <w:rFonts w:asciiTheme="minorHAnsi" w:hAnsiTheme="minorHAnsi"/>
          <w:sz w:val="24"/>
          <w:szCs w:val="24"/>
        </w:rPr>
        <w:t xml:space="preserve"> delovna mesta, ki so najprej zagotovljena z izgradnjo nato pa z vzporednimi dejavnostmi, ki jih zagotavlja in poganja moderna infrastruktura. Navedene </w:t>
      </w:r>
      <w:r w:rsidRPr="007C075A">
        <w:rPr>
          <w:rFonts w:asciiTheme="minorHAnsi" w:hAnsiTheme="minorHAnsi"/>
          <w:sz w:val="24"/>
          <w:szCs w:val="24"/>
        </w:rPr>
        <w:lastRenderedPageBreak/>
        <w:t xml:space="preserve">dejavnosti, ki so neposredno odvisne od infrastrukture, prispevajo že sedaj v državni ekonomiji okoli 20 % BDP in sicer transport in logistika (okoli  11 %), gradbeništvo (5 do 6 %), projektiranje,  inženiring (3 %), lahko pa bi prispevale še znatno več.  </w:t>
      </w:r>
    </w:p>
    <w:p w:rsidR="00BB2F45" w:rsidRDefault="007D56BD" w:rsidP="0088713A">
      <w:pPr>
        <w:spacing w:after="60"/>
        <w:ind w:right="-567"/>
        <w:jc w:val="both"/>
        <w:rPr>
          <w:rFonts w:asciiTheme="minorHAnsi" w:hAnsiTheme="minorHAnsi"/>
          <w:sz w:val="24"/>
          <w:szCs w:val="24"/>
        </w:rPr>
      </w:pPr>
      <w:r>
        <w:rPr>
          <w:rFonts w:asciiTheme="minorHAnsi" w:hAnsiTheme="minorHAnsi"/>
          <w:sz w:val="24"/>
          <w:szCs w:val="24"/>
        </w:rPr>
        <w:t>Kljub temu, da se zaradi zmanjšanja emisij in ostalih vplivov v strategiji daje poseben poudarek javnemu potniškemu prometu in železnicam, se v tem članku osredotočamo predvsem na prometne sektorje, kjer so infrastrukturno potrebna največja vlaganja. To so</w:t>
      </w:r>
      <w:r w:rsidR="00C35FC4" w:rsidRPr="007C075A">
        <w:rPr>
          <w:rFonts w:asciiTheme="minorHAnsi" w:hAnsiTheme="minorHAnsi"/>
          <w:sz w:val="24"/>
          <w:szCs w:val="24"/>
        </w:rPr>
        <w:t xml:space="preserve"> državne ceste, avtoceste in žel</w:t>
      </w:r>
      <w:r w:rsidR="00C35FC4">
        <w:rPr>
          <w:rFonts w:asciiTheme="minorHAnsi" w:hAnsiTheme="minorHAnsi"/>
          <w:sz w:val="24"/>
          <w:szCs w:val="24"/>
        </w:rPr>
        <w:t>eznice.</w:t>
      </w:r>
      <w:r>
        <w:rPr>
          <w:rFonts w:asciiTheme="minorHAnsi" w:hAnsiTheme="minorHAnsi"/>
          <w:sz w:val="24"/>
          <w:szCs w:val="24"/>
        </w:rPr>
        <w:t xml:space="preserve"> V  zelo slabem</w:t>
      </w:r>
      <w:r w:rsidR="00C35FC4" w:rsidRPr="007C075A">
        <w:rPr>
          <w:rFonts w:asciiTheme="minorHAnsi" w:hAnsiTheme="minorHAnsi"/>
          <w:sz w:val="24"/>
          <w:szCs w:val="24"/>
        </w:rPr>
        <w:t xml:space="preserve"> stanju so </w:t>
      </w:r>
      <w:r>
        <w:rPr>
          <w:rFonts w:asciiTheme="minorHAnsi" w:hAnsiTheme="minorHAnsi"/>
          <w:sz w:val="24"/>
          <w:szCs w:val="24"/>
        </w:rPr>
        <w:t>tako železnice kot</w:t>
      </w:r>
      <w:r w:rsidR="00C35FC4" w:rsidRPr="007C075A">
        <w:rPr>
          <w:rFonts w:asciiTheme="minorHAnsi" w:hAnsiTheme="minorHAnsi"/>
          <w:sz w:val="24"/>
          <w:szCs w:val="24"/>
        </w:rPr>
        <w:t xml:space="preserve"> državne ceste, avtoceste pa bodo temu zelo kmalu sledile, </w:t>
      </w:r>
      <w:r w:rsidR="00423122">
        <w:rPr>
          <w:rFonts w:asciiTheme="minorHAnsi" w:hAnsiTheme="minorHAnsi"/>
          <w:sz w:val="24"/>
          <w:szCs w:val="24"/>
        </w:rPr>
        <w:t xml:space="preserve">saj so nadpovprečno </w:t>
      </w:r>
      <w:r>
        <w:rPr>
          <w:rFonts w:asciiTheme="minorHAnsi" w:hAnsiTheme="minorHAnsi"/>
          <w:sz w:val="24"/>
          <w:szCs w:val="24"/>
        </w:rPr>
        <w:t xml:space="preserve">prometno </w:t>
      </w:r>
      <w:r w:rsidR="00423122">
        <w:rPr>
          <w:rFonts w:asciiTheme="minorHAnsi" w:hAnsiTheme="minorHAnsi"/>
          <w:sz w:val="24"/>
          <w:szCs w:val="24"/>
        </w:rPr>
        <w:t xml:space="preserve">obremenjene, </w:t>
      </w:r>
      <w:r w:rsidR="0088713A">
        <w:rPr>
          <w:rFonts w:asciiTheme="minorHAnsi" w:hAnsiTheme="minorHAnsi"/>
          <w:sz w:val="24"/>
          <w:szCs w:val="24"/>
        </w:rPr>
        <w:t xml:space="preserve">kar se </w:t>
      </w:r>
      <w:r w:rsidR="00BB2F45">
        <w:rPr>
          <w:rFonts w:asciiTheme="minorHAnsi" w:hAnsiTheme="minorHAnsi"/>
          <w:sz w:val="24"/>
          <w:szCs w:val="24"/>
        </w:rPr>
        <w:t xml:space="preserve">negativno </w:t>
      </w:r>
      <w:r w:rsidR="0088713A">
        <w:rPr>
          <w:rFonts w:asciiTheme="minorHAnsi" w:hAnsiTheme="minorHAnsi"/>
          <w:sz w:val="24"/>
          <w:szCs w:val="24"/>
        </w:rPr>
        <w:t xml:space="preserve">odraža </w:t>
      </w:r>
      <w:r>
        <w:rPr>
          <w:rFonts w:asciiTheme="minorHAnsi" w:hAnsiTheme="minorHAnsi"/>
          <w:sz w:val="24"/>
          <w:szCs w:val="24"/>
        </w:rPr>
        <w:t xml:space="preserve">predvsem </w:t>
      </w:r>
      <w:r w:rsidR="0088713A">
        <w:rPr>
          <w:rFonts w:asciiTheme="minorHAnsi" w:hAnsiTheme="minorHAnsi"/>
          <w:sz w:val="24"/>
          <w:szCs w:val="24"/>
        </w:rPr>
        <w:t>na voziščnih konstrukcijah</w:t>
      </w:r>
      <w:r w:rsidR="00423122">
        <w:rPr>
          <w:rFonts w:asciiTheme="minorHAnsi" w:hAnsiTheme="minorHAnsi"/>
          <w:sz w:val="24"/>
          <w:szCs w:val="24"/>
        </w:rPr>
        <w:t>. Č</w:t>
      </w:r>
      <w:r w:rsidR="00C35FC4" w:rsidRPr="007C075A">
        <w:rPr>
          <w:rFonts w:asciiTheme="minorHAnsi" w:hAnsiTheme="minorHAnsi"/>
          <w:sz w:val="24"/>
          <w:szCs w:val="24"/>
        </w:rPr>
        <w:t xml:space="preserve">e jih </w:t>
      </w:r>
      <w:r w:rsidR="00BB2F45">
        <w:rPr>
          <w:rFonts w:asciiTheme="minorHAnsi" w:hAnsiTheme="minorHAnsi"/>
          <w:sz w:val="24"/>
          <w:szCs w:val="24"/>
        </w:rPr>
        <w:t xml:space="preserve">na najbolj obremenjenih odsekih </w:t>
      </w:r>
      <w:r w:rsidR="00C35FC4" w:rsidRPr="007C075A">
        <w:rPr>
          <w:rFonts w:asciiTheme="minorHAnsi" w:hAnsiTheme="minorHAnsi"/>
          <w:sz w:val="24"/>
          <w:szCs w:val="24"/>
        </w:rPr>
        <w:t xml:space="preserve">ne bomo </w:t>
      </w:r>
      <w:r w:rsidR="00BB2F45">
        <w:rPr>
          <w:rFonts w:asciiTheme="minorHAnsi" w:hAnsiTheme="minorHAnsi"/>
          <w:sz w:val="24"/>
          <w:szCs w:val="24"/>
        </w:rPr>
        <w:t>pravočasno</w:t>
      </w:r>
      <w:r w:rsidR="00423122">
        <w:rPr>
          <w:rFonts w:asciiTheme="minorHAnsi" w:hAnsiTheme="minorHAnsi"/>
          <w:sz w:val="24"/>
          <w:szCs w:val="24"/>
        </w:rPr>
        <w:t xml:space="preserve"> ojačali</w:t>
      </w:r>
      <w:r w:rsidR="00BB2F45">
        <w:rPr>
          <w:rFonts w:asciiTheme="minorHAnsi" w:hAnsiTheme="minorHAnsi"/>
          <w:sz w:val="24"/>
          <w:szCs w:val="24"/>
        </w:rPr>
        <w:t>,</w:t>
      </w:r>
      <w:r w:rsidR="00423122">
        <w:rPr>
          <w:rFonts w:asciiTheme="minorHAnsi" w:hAnsiTheme="minorHAnsi"/>
          <w:sz w:val="24"/>
          <w:szCs w:val="24"/>
        </w:rPr>
        <w:t xml:space="preserve"> bodo stroški prepoznih ukrepov </w:t>
      </w:r>
      <w:r w:rsidR="00BB2F45">
        <w:rPr>
          <w:rFonts w:asciiTheme="minorHAnsi" w:hAnsiTheme="minorHAnsi"/>
          <w:sz w:val="24"/>
          <w:szCs w:val="24"/>
        </w:rPr>
        <w:t xml:space="preserve">izjemno </w:t>
      </w:r>
      <w:r w:rsidR="00423122">
        <w:rPr>
          <w:rFonts w:asciiTheme="minorHAnsi" w:hAnsiTheme="minorHAnsi"/>
          <w:sz w:val="24"/>
          <w:szCs w:val="24"/>
        </w:rPr>
        <w:t>visoki</w:t>
      </w:r>
      <w:r w:rsidR="00BB2F45">
        <w:rPr>
          <w:rFonts w:asciiTheme="minorHAnsi" w:hAnsiTheme="minorHAnsi"/>
          <w:sz w:val="24"/>
          <w:szCs w:val="24"/>
        </w:rPr>
        <w:t xml:space="preserve"> in nekajkrat višji </w:t>
      </w:r>
      <w:r>
        <w:rPr>
          <w:rFonts w:asciiTheme="minorHAnsi" w:hAnsiTheme="minorHAnsi"/>
          <w:sz w:val="24"/>
          <w:szCs w:val="24"/>
        </w:rPr>
        <w:t>kot bi bili sicer.</w:t>
      </w:r>
      <w:r w:rsidR="00C35FC4" w:rsidRPr="007C075A">
        <w:rPr>
          <w:rFonts w:asciiTheme="minorHAnsi" w:hAnsiTheme="minorHAnsi"/>
          <w:sz w:val="24"/>
          <w:szCs w:val="24"/>
        </w:rPr>
        <w:t xml:space="preserve"> </w:t>
      </w:r>
    </w:p>
    <w:p w:rsidR="00423122" w:rsidRDefault="00C35FC4" w:rsidP="0088713A">
      <w:pPr>
        <w:spacing w:after="60"/>
        <w:ind w:right="-567"/>
        <w:jc w:val="both"/>
        <w:rPr>
          <w:rFonts w:asciiTheme="minorHAnsi" w:hAnsiTheme="minorHAnsi"/>
          <w:sz w:val="24"/>
          <w:szCs w:val="24"/>
        </w:rPr>
      </w:pPr>
      <w:r w:rsidRPr="007C075A">
        <w:rPr>
          <w:rFonts w:asciiTheme="minorHAnsi" w:hAnsiTheme="minorHAnsi"/>
          <w:sz w:val="24"/>
          <w:szCs w:val="24"/>
        </w:rPr>
        <w:t>V zadnjih letih nam na nobenem p</w:t>
      </w:r>
      <w:r w:rsidR="00BB2F45">
        <w:rPr>
          <w:rFonts w:asciiTheme="minorHAnsi" w:hAnsiTheme="minorHAnsi"/>
          <w:sz w:val="24"/>
          <w:szCs w:val="24"/>
        </w:rPr>
        <w:t>rometnem sektorju</w:t>
      </w:r>
      <w:r w:rsidRPr="007C075A">
        <w:rPr>
          <w:rFonts w:asciiTheme="minorHAnsi" w:hAnsiTheme="minorHAnsi"/>
          <w:sz w:val="24"/>
          <w:szCs w:val="24"/>
        </w:rPr>
        <w:t xml:space="preserve"> ne uspevata </w:t>
      </w:r>
      <w:r w:rsidR="00BB2F45">
        <w:rPr>
          <w:rFonts w:asciiTheme="minorHAnsi" w:hAnsiTheme="minorHAnsi"/>
          <w:sz w:val="24"/>
          <w:szCs w:val="24"/>
        </w:rPr>
        <w:t>doseči niti</w:t>
      </w:r>
      <w:r w:rsidRPr="007C075A">
        <w:rPr>
          <w:rFonts w:asciiTheme="minorHAnsi" w:hAnsiTheme="minorHAnsi"/>
          <w:sz w:val="24"/>
          <w:szCs w:val="24"/>
        </w:rPr>
        <w:t xml:space="preserve"> </w:t>
      </w:r>
      <w:r w:rsidR="00423122">
        <w:rPr>
          <w:rFonts w:asciiTheme="minorHAnsi" w:hAnsiTheme="minorHAnsi"/>
          <w:sz w:val="24"/>
          <w:szCs w:val="24"/>
        </w:rPr>
        <w:t xml:space="preserve">primernega </w:t>
      </w:r>
      <w:r w:rsidRPr="007C075A">
        <w:rPr>
          <w:rFonts w:asciiTheme="minorHAnsi" w:hAnsiTheme="minorHAnsi"/>
          <w:sz w:val="24"/>
          <w:szCs w:val="24"/>
        </w:rPr>
        <w:t>razvoj</w:t>
      </w:r>
      <w:r w:rsidR="00423122">
        <w:rPr>
          <w:rFonts w:asciiTheme="minorHAnsi" w:hAnsiTheme="minorHAnsi"/>
          <w:sz w:val="24"/>
          <w:szCs w:val="24"/>
        </w:rPr>
        <w:t>a</w:t>
      </w:r>
      <w:r w:rsidR="00BB2F45">
        <w:rPr>
          <w:rFonts w:asciiTheme="minorHAnsi" w:hAnsiTheme="minorHAnsi"/>
          <w:sz w:val="24"/>
          <w:szCs w:val="24"/>
        </w:rPr>
        <w:t xml:space="preserve"> niti</w:t>
      </w:r>
      <w:r w:rsidR="00423122">
        <w:rPr>
          <w:rFonts w:asciiTheme="minorHAnsi" w:hAnsiTheme="minorHAnsi"/>
          <w:sz w:val="24"/>
          <w:szCs w:val="24"/>
        </w:rPr>
        <w:t xml:space="preserve"> ustreznega</w:t>
      </w:r>
      <w:r w:rsidRPr="007C075A">
        <w:rPr>
          <w:rFonts w:asciiTheme="minorHAnsi" w:hAnsiTheme="minorHAnsi"/>
          <w:sz w:val="24"/>
          <w:szCs w:val="24"/>
        </w:rPr>
        <w:t xml:space="preserve"> vzdrž</w:t>
      </w:r>
      <w:r w:rsidR="00423122">
        <w:rPr>
          <w:rFonts w:asciiTheme="minorHAnsi" w:hAnsiTheme="minorHAnsi"/>
          <w:sz w:val="24"/>
          <w:szCs w:val="24"/>
        </w:rPr>
        <w:t>evanja</w:t>
      </w:r>
      <w:r>
        <w:rPr>
          <w:rFonts w:asciiTheme="minorHAnsi" w:hAnsiTheme="minorHAnsi"/>
          <w:sz w:val="24"/>
          <w:szCs w:val="24"/>
        </w:rPr>
        <w:t xml:space="preserve">. </w:t>
      </w:r>
    </w:p>
    <w:p w:rsidR="00FF0589" w:rsidRDefault="00FF0589" w:rsidP="0088713A">
      <w:pPr>
        <w:spacing w:after="60"/>
        <w:ind w:right="-567"/>
        <w:jc w:val="both"/>
        <w:rPr>
          <w:rFonts w:asciiTheme="minorHAnsi" w:hAnsiTheme="minorHAnsi"/>
          <w:sz w:val="24"/>
          <w:szCs w:val="24"/>
        </w:rPr>
      </w:pPr>
    </w:p>
    <w:p w:rsidR="00423122" w:rsidRDefault="00423122" w:rsidP="0088713A">
      <w:pPr>
        <w:spacing w:after="60"/>
        <w:ind w:right="-567"/>
        <w:jc w:val="both"/>
        <w:rPr>
          <w:rFonts w:asciiTheme="minorHAnsi" w:hAnsiTheme="minorHAnsi"/>
          <w:sz w:val="24"/>
          <w:szCs w:val="24"/>
        </w:rPr>
      </w:pPr>
      <w:r w:rsidRPr="007C075A">
        <w:rPr>
          <w:rFonts w:asciiTheme="minorHAnsi" w:hAnsiTheme="minorHAnsi"/>
          <w:sz w:val="24"/>
          <w:szCs w:val="24"/>
        </w:rPr>
        <w:t>Že danes poteka med Koprom, Ljubljano in naprej eden od prometno pomembnejših evropskih koridorjev. Mimo Postojne se letno prepelje več kot 40 mio ton blaga, kar je več kot preko enega od prometno najpomembnejših prelazov med severno in južno Evropo</w:t>
      </w:r>
      <w:r>
        <w:rPr>
          <w:rFonts w:asciiTheme="minorHAnsi" w:hAnsiTheme="minorHAnsi"/>
          <w:sz w:val="24"/>
          <w:szCs w:val="24"/>
        </w:rPr>
        <w:t>, prelazom Brenner. Zato ni čudno</w:t>
      </w:r>
      <w:r w:rsidRPr="007C075A">
        <w:rPr>
          <w:rFonts w:asciiTheme="minorHAnsi" w:hAnsiTheme="minorHAnsi"/>
          <w:sz w:val="24"/>
          <w:szCs w:val="24"/>
        </w:rPr>
        <w:t>, da sta na tej smeri preko Slovenije vzpostavljena jedrna TEN T  koridorja (Mediteranski in Baltsko-Jadranski), ki se v velikem delu v Sloveniji tudi prekrivata (slika 1). Države članice so na jedrnih koridorjih dolžne zagotoviti minimalne standarde posameznih prometnih sistemov. V tem kontekstu imamo zmogljive in ustrezne avtoceste, razen manjkajočih odsekov, in neustrezne, zastarele železnice, z nizkimi kapacitetami in hitrostjo. Zaradi svoje lege imamo na eni strani do Evrope veliko odgovornost, da vzpostavimo tudi železniški koridor, na drugi strani pa je to za Slovenijo velik izziv in priložnost.</w:t>
      </w:r>
    </w:p>
    <w:p w:rsidR="00423122" w:rsidRDefault="00423122" w:rsidP="0088713A">
      <w:pPr>
        <w:spacing w:after="60"/>
        <w:ind w:right="-567"/>
        <w:jc w:val="both"/>
        <w:rPr>
          <w:rFonts w:asciiTheme="minorHAnsi" w:hAnsiTheme="minorHAnsi"/>
          <w:sz w:val="24"/>
          <w:szCs w:val="24"/>
        </w:rPr>
      </w:pPr>
    </w:p>
    <w:p w:rsidR="00FF0589" w:rsidRDefault="00FF0589" w:rsidP="0088713A">
      <w:pPr>
        <w:spacing w:after="60"/>
        <w:ind w:right="-567"/>
        <w:jc w:val="both"/>
        <w:rPr>
          <w:rFonts w:asciiTheme="minorHAnsi" w:hAnsiTheme="minorHAnsi"/>
          <w:sz w:val="24"/>
          <w:szCs w:val="24"/>
        </w:rPr>
      </w:pPr>
    </w:p>
    <w:p w:rsidR="00423122" w:rsidRDefault="00423122" w:rsidP="0088713A">
      <w:pPr>
        <w:spacing w:after="60"/>
        <w:ind w:right="-567"/>
        <w:jc w:val="both"/>
        <w:rPr>
          <w:rFonts w:asciiTheme="minorHAnsi" w:hAnsiTheme="minorHAnsi"/>
          <w:sz w:val="24"/>
          <w:szCs w:val="24"/>
        </w:rPr>
      </w:pPr>
      <w:r w:rsidRPr="00A943DD">
        <w:rPr>
          <w:rFonts w:asciiTheme="minorHAnsi" w:hAnsiTheme="minorHAnsi"/>
          <w:noProof/>
          <w:sz w:val="24"/>
          <w:szCs w:val="24"/>
          <w:lang w:eastAsia="sl-SI"/>
        </w:rPr>
        <w:drawing>
          <wp:inline distT="0" distB="0" distL="0" distR="0" wp14:anchorId="31C8CAD4" wp14:editId="7F19E9A0">
            <wp:extent cx="2571750" cy="2362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2362200"/>
                    </a:xfrm>
                    <a:prstGeom prst="rect">
                      <a:avLst/>
                    </a:prstGeom>
                    <a:noFill/>
                    <a:ln>
                      <a:noFill/>
                    </a:ln>
                  </pic:spPr>
                </pic:pic>
              </a:graphicData>
            </a:graphic>
          </wp:inline>
        </w:drawing>
      </w:r>
    </w:p>
    <w:p w:rsidR="00423122" w:rsidRDefault="00423122" w:rsidP="0088713A">
      <w:pPr>
        <w:spacing w:after="60"/>
        <w:ind w:right="-567"/>
        <w:jc w:val="both"/>
        <w:rPr>
          <w:rFonts w:asciiTheme="minorHAnsi" w:hAnsiTheme="minorHAnsi"/>
          <w:i/>
          <w:sz w:val="20"/>
          <w:szCs w:val="20"/>
        </w:rPr>
      </w:pPr>
      <w:r w:rsidRPr="007227F7">
        <w:rPr>
          <w:rFonts w:asciiTheme="minorHAnsi" w:hAnsiTheme="minorHAnsi"/>
          <w:b/>
          <w:i/>
          <w:sz w:val="20"/>
          <w:szCs w:val="20"/>
        </w:rPr>
        <w:t>Slika 1: Mediteranski in Baltsko-jadranski TEN T koridor</w:t>
      </w:r>
      <w:r w:rsidR="00FF0589" w:rsidRPr="007227F7">
        <w:rPr>
          <w:rFonts w:asciiTheme="minorHAnsi" w:hAnsiTheme="minorHAnsi"/>
          <w:b/>
          <w:i/>
          <w:sz w:val="20"/>
          <w:szCs w:val="20"/>
        </w:rPr>
        <w:t>;</w:t>
      </w:r>
      <w:r w:rsidRPr="007227F7">
        <w:rPr>
          <w:rFonts w:asciiTheme="minorHAnsi" w:hAnsiTheme="minorHAnsi"/>
          <w:b/>
          <w:i/>
          <w:sz w:val="20"/>
          <w:szCs w:val="20"/>
        </w:rPr>
        <w:t xml:space="preserve"> </w:t>
      </w:r>
      <w:r w:rsidRPr="007227F7">
        <w:rPr>
          <w:rFonts w:asciiTheme="minorHAnsi" w:hAnsiTheme="minorHAnsi"/>
          <w:i/>
          <w:sz w:val="20"/>
          <w:szCs w:val="20"/>
        </w:rPr>
        <w:t>vir: EC</w:t>
      </w:r>
    </w:p>
    <w:p w:rsidR="007227F7" w:rsidRPr="007227F7" w:rsidRDefault="007227F7" w:rsidP="0088713A">
      <w:pPr>
        <w:spacing w:after="60"/>
        <w:ind w:right="-567"/>
        <w:jc w:val="both"/>
        <w:rPr>
          <w:rFonts w:asciiTheme="minorHAnsi" w:hAnsiTheme="minorHAnsi"/>
          <w:sz w:val="20"/>
          <w:szCs w:val="20"/>
        </w:rPr>
      </w:pPr>
    </w:p>
    <w:p w:rsidR="00423122" w:rsidRDefault="00423122" w:rsidP="0088713A">
      <w:pPr>
        <w:spacing w:after="60"/>
        <w:ind w:right="-567"/>
        <w:jc w:val="both"/>
        <w:rPr>
          <w:rFonts w:asciiTheme="minorHAnsi" w:hAnsiTheme="minorHAnsi"/>
          <w:sz w:val="24"/>
          <w:szCs w:val="24"/>
        </w:rPr>
      </w:pPr>
      <w:r w:rsidRPr="007C075A">
        <w:rPr>
          <w:rFonts w:asciiTheme="minorHAnsi" w:hAnsiTheme="minorHAnsi"/>
          <w:sz w:val="24"/>
          <w:szCs w:val="24"/>
        </w:rPr>
        <w:t xml:space="preserve">Tudi delež osebnega prometa na našem cestnem omrežju je znatno nad evropskim povprečjem. Avtocestni križ ima na večjem delu omrežja v povprečju več kot 40.000 vozil dnevno, z 20 do 30 % tovornega prometa. Na preostalem omrežju je množica cest s povprečnim dnevnim prometom, ki </w:t>
      </w:r>
      <w:r w:rsidRPr="007C075A">
        <w:rPr>
          <w:rFonts w:asciiTheme="minorHAnsi" w:hAnsiTheme="minorHAnsi"/>
          <w:sz w:val="24"/>
          <w:szCs w:val="24"/>
        </w:rPr>
        <w:lastRenderedPageBreak/>
        <w:t xml:space="preserve">presega 5.000 ali 10.000 vozil. Prometno smo torej razviti, naša omrežja so obremenjena, žal pa v danem času nismo v stanju ta omrežja ustrezno vzdrževati in nadgrajevati. </w:t>
      </w:r>
    </w:p>
    <w:p w:rsidR="00423122" w:rsidRPr="007C075A" w:rsidRDefault="00423122" w:rsidP="0088713A">
      <w:pPr>
        <w:spacing w:after="60"/>
        <w:ind w:right="-567"/>
        <w:jc w:val="both"/>
        <w:rPr>
          <w:rFonts w:asciiTheme="minorHAnsi" w:hAnsiTheme="minorHAnsi"/>
          <w:sz w:val="24"/>
          <w:szCs w:val="24"/>
        </w:rPr>
      </w:pPr>
    </w:p>
    <w:p w:rsidR="00423122" w:rsidRDefault="00423122" w:rsidP="0088713A">
      <w:pPr>
        <w:spacing w:after="60"/>
        <w:ind w:right="-567"/>
        <w:jc w:val="both"/>
        <w:rPr>
          <w:rFonts w:asciiTheme="minorHAnsi" w:hAnsiTheme="minorHAnsi"/>
          <w:sz w:val="24"/>
          <w:szCs w:val="24"/>
        </w:rPr>
      </w:pPr>
      <w:r>
        <w:rPr>
          <w:rFonts w:asciiTheme="minorHAnsi" w:hAnsiTheme="minorHAnsi"/>
          <w:sz w:val="24"/>
          <w:szCs w:val="24"/>
        </w:rPr>
        <w:t>Na diagramu št. 3</w:t>
      </w:r>
      <w:r w:rsidRPr="007C075A">
        <w:rPr>
          <w:rFonts w:asciiTheme="minorHAnsi" w:hAnsiTheme="minorHAnsi"/>
          <w:sz w:val="24"/>
          <w:szCs w:val="24"/>
        </w:rPr>
        <w:t xml:space="preserve"> je na osnovi podatkov Evropske Komisije prikazana </w:t>
      </w:r>
      <w:r>
        <w:rPr>
          <w:rFonts w:asciiTheme="minorHAnsi" w:hAnsiTheme="minorHAnsi"/>
          <w:sz w:val="24"/>
          <w:szCs w:val="24"/>
        </w:rPr>
        <w:t xml:space="preserve">pretekla in predvidena </w:t>
      </w:r>
      <w:r w:rsidRPr="007C075A">
        <w:rPr>
          <w:rFonts w:asciiTheme="minorHAnsi" w:hAnsiTheme="minorHAnsi"/>
          <w:sz w:val="24"/>
          <w:szCs w:val="24"/>
        </w:rPr>
        <w:t>rast prometa v Evropi (tovornega in osebnega) do leta 2030 oziroma do 2050. Samo do leta 2030 bo tovorni promet narasel za okol</w:t>
      </w:r>
      <w:r>
        <w:rPr>
          <w:rFonts w:asciiTheme="minorHAnsi" w:hAnsiTheme="minorHAnsi"/>
          <w:sz w:val="24"/>
          <w:szCs w:val="24"/>
        </w:rPr>
        <w:t>i 70 %, osebni pa za okoli 40 %, kar pome</w:t>
      </w:r>
      <w:r w:rsidR="00BB2F45">
        <w:rPr>
          <w:rFonts w:asciiTheme="minorHAnsi" w:hAnsiTheme="minorHAnsi"/>
          <w:sz w:val="24"/>
          <w:szCs w:val="24"/>
        </w:rPr>
        <w:t>ni, da moramo ukrepati, da bomo omogočili stabilen transport gospodarstvu in iz tega preko različnih prometnih in logističnih dejavnosti pridobivali ekonomske koristi.</w:t>
      </w:r>
    </w:p>
    <w:p w:rsidR="00423122" w:rsidRDefault="00423122" w:rsidP="0088713A">
      <w:pPr>
        <w:spacing w:after="60"/>
        <w:ind w:right="-567"/>
        <w:jc w:val="both"/>
        <w:rPr>
          <w:rFonts w:asciiTheme="minorHAnsi" w:hAnsiTheme="minorHAnsi"/>
          <w:sz w:val="24"/>
          <w:szCs w:val="24"/>
        </w:rPr>
      </w:pPr>
    </w:p>
    <w:p w:rsidR="00423122" w:rsidRDefault="00423122" w:rsidP="0088713A">
      <w:pPr>
        <w:spacing w:after="60"/>
        <w:ind w:right="-567"/>
        <w:jc w:val="both"/>
        <w:rPr>
          <w:rFonts w:asciiTheme="minorHAnsi" w:hAnsiTheme="minorHAnsi"/>
          <w:sz w:val="24"/>
          <w:szCs w:val="24"/>
        </w:rPr>
      </w:pPr>
      <w:r w:rsidRPr="00A943DD">
        <w:rPr>
          <w:rFonts w:asciiTheme="minorHAnsi" w:hAnsiTheme="minorHAnsi"/>
          <w:noProof/>
          <w:sz w:val="24"/>
          <w:szCs w:val="24"/>
          <w:lang w:eastAsia="sl-SI"/>
        </w:rPr>
        <w:drawing>
          <wp:inline distT="0" distB="0" distL="0" distR="0" wp14:anchorId="20248B53" wp14:editId="3501ADB8">
            <wp:extent cx="3190875" cy="2143125"/>
            <wp:effectExtent l="0" t="0" r="9525"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7188" t="56108" r="54120" b="24318"/>
                    <a:stretch>
                      <a:fillRect/>
                    </a:stretch>
                  </pic:blipFill>
                  <pic:spPr bwMode="auto">
                    <a:xfrm>
                      <a:off x="0" y="0"/>
                      <a:ext cx="3190875" cy="2143125"/>
                    </a:xfrm>
                    <a:prstGeom prst="rect">
                      <a:avLst/>
                    </a:prstGeom>
                    <a:noFill/>
                    <a:ln>
                      <a:noFill/>
                    </a:ln>
                  </pic:spPr>
                </pic:pic>
              </a:graphicData>
            </a:graphic>
          </wp:inline>
        </w:drawing>
      </w:r>
    </w:p>
    <w:p w:rsidR="00423122" w:rsidRPr="007227F7" w:rsidRDefault="00FF0589" w:rsidP="0088713A">
      <w:pPr>
        <w:spacing w:after="60"/>
        <w:ind w:right="-567"/>
        <w:jc w:val="both"/>
        <w:rPr>
          <w:rFonts w:asciiTheme="minorHAnsi" w:hAnsiTheme="minorHAnsi"/>
          <w:b/>
          <w:i/>
          <w:sz w:val="20"/>
          <w:szCs w:val="20"/>
        </w:rPr>
      </w:pPr>
      <w:r w:rsidRPr="007227F7">
        <w:rPr>
          <w:rFonts w:asciiTheme="minorHAnsi" w:hAnsiTheme="minorHAnsi"/>
          <w:b/>
          <w:i/>
          <w:sz w:val="20"/>
          <w:szCs w:val="20"/>
        </w:rPr>
        <w:t>Diagram št. 2</w:t>
      </w:r>
      <w:r w:rsidR="00423122" w:rsidRPr="007227F7">
        <w:rPr>
          <w:rFonts w:asciiTheme="minorHAnsi" w:hAnsiTheme="minorHAnsi"/>
          <w:b/>
          <w:i/>
          <w:sz w:val="20"/>
          <w:szCs w:val="20"/>
        </w:rPr>
        <w:t xml:space="preserve">: Prometne obremenitve za tovorni in potniški promet; </w:t>
      </w:r>
      <w:r w:rsidR="00423122" w:rsidRPr="007227F7">
        <w:rPr>
          <w:rFonts w:asciiTheme="minorHAnsi" w:hAnsiTheme="minorHAnsi"/>
          <w:i/>
          <w:sz w:val="20"/>
          <w:szCs w:val="20"/>
        </w:rPr>
        <w:t>vir: EC</w:t>
      </w:r>
    </w:p>
    <w:p w:rsidR="00423122" w:rsidRDefault="00423122" w:rsidP="0088713A">
      <w:pPr>
        <w:spacing w:after="60"/>
        <w:ind w:right="-567"/>
        <w:jc w:val="both"/>
        <w:rPr>
          <w:rFonts w:asciiTheme="minorHAnsi" w:hAnsiTheme="minorHAnsi"/>
          <w:sz w:val="24"/>
          <w:szCs w:val="24"/>
        </w:rPr>
      </w:pPr>
    </w:p>
    <w:p w:rsidR="00423122" w:rsidRDefault="00423122" w:rsidP="0088713A">
      <w:pPr>
        <w:spacing w:after="60"/>
        <w:ind w:right="-567"/>
        <w:jc w:val="both"/>
        <w:rPr>
          <w:rFonts w:asciiTheme="minorHAnsi" w:hAnsiTheme="minorHAnsi"/>
          <w:sz w:val="24"/>
          <w:szCs w:val="24"/>
        </w:rPr>
      </w:pPr>
      <w:r w:rsidRPr="007C075A">
        <w:rPr>
          <w:rFonts w:asciiTheme="minorHAnsi" w:hAnsiTheme="minorHAnsi"/>
          <w:sz w:val="24"/>
          <w:szCs w:val="24"/>
        </w:rPr>
        <w:t>Slovenija je v zadnjih desetih letih na področju transporta in logistike močno napredovala. iz tega naslova dosegamo okoli 4,5 mrd EUR prihodkov, ali 2.323 EUR/ prebivalca. Seveda pa je situacija precej slabša, če se primerjamo z evropskim povprečjem ali s sosednjo Avstrijo, ki dosega s 4.596 EUR/ prebivalca znatno višj</w:t>
      </w:r>
      <w:r>
        <w:rPr>
          <w:rFonts w:asciiTheme="minorHAnsi" w:hAnsiTheme="minorHAnsi"/>
          <w:sz w:val="24"/>
          <w:szCs w:val="24"/>
        </w:rPr>
        <w:t>e prihodke od Slovenije</w:t>
      </w:r>
      <w:r w:rsidRPr="007C075A">
        <w:rPr>
          <w:rFonts w:asciiTheme="minorHAnsi" w:hAnsiTheme="minorHAnsi"/>
          <w:sz w:val="24"/>
          <w:szCs w:val="24"/>
        </w:rPr>
        <w:t>.</w:t>
      </w:r>
      <w:r w:rsidR="00BB2F45">
        <w:rPr>
          <w:rFonts w:asciiTheme="minorHAnsi" w:hAnsiTheme="minorHAnsi"/>
          <w:sz w:val="24"/>
          <w:szCs w:val="24"/>
        </w:rPr>
        <w:t xml:space="preserve"> </w:t>
      </w:r>
      <w:r w:rsidRPr="007C075A">
        <w:rPr>
          <w:rFonts w:asciiTheme="minorHAnsi" w:hAnsiTheme="minorHAnsi"/>
          <w:sz w:val="24"/>
          <w:szCs w:val="24"/>
        </w:rPr>
        <w:t>Podobno je delež zaposlenih v tej d</w:t>
      </w:r>
      <w:r>
        <w:rPr>
          <w:rFonts w:asciiTheme="minorHAnsi" w:hAnsiTheme="minorHAnsi"/>
          <w:sz w:val="24"/>
          <w:szCs w:val="24"/>
        </w:rPr>
        <w:t>ejavnosti v Sloveniji nižji. Č</w:t>
      </w:r>
      <w:r w:rsidRPr="007C075A">
        <w:rPr>
          <w:rFonts w:asciiTheme="minorHAnsi" w:hAnsiTheme="minorHAnsi"/>
          <w:sz w:val="24"/>
          <w:szCs w:val="24"/>
        </w:rPr>
        <w:t xml:space="preserve">e bi dosegali </w:t>
      </w:r>
      <w:r>
        <w:rPr>
          <w:rFonts w:asciiTheme="minorHAnsi" w:hAnsiTheme="minorHAnsi"/>
          <w:sz w:val="24"/>
          <w:szCs w:val="24"/>
        </w:rPr>
        <w:t>v tej panogi 2,49 % zaposlenih,</w:t>
      </w:r>
      <w:r w:rsidRPr="007C075A">
        <w:rPr>
          <w:rFonts w:asciiTheme="minorHAnsi" w:hAnsiTheme="minorHAnsi"/>
          <w:sz w:val="24"/>
          <w:szCs w:val="24"/>
        </w:rPr>
        <w:t xml:space="preserve"> kot v Avstriji, bi lahko dodatno z</w:t>
      </w:r>
      <w:r>
        <w:rPr>
          <w:rFonts w:asciiTheme="minorHAnsi" w:hAnsiTheme="minorHAnsi"/>
          <w:sz w:val="24"/>
          <w:szCs w:val="24"/>
        </w:rPr>
        <w:t>agotovili 5.000 delovnih mest.</w:t>
      </w:r>
    </w:p>
    <w:p w:rsidR="009B75AE" w:rsidRDefault="009B75AE" w:rsidP="0088713A">
      <w:pPr>
        <w:spacing w:after="60"/>
        <w:ind w:right="-567"/>
        <w:jc w:val="both"/>
        <w:rPr>
          <w:rFonts w:asciiTheme="minorHAnsi" w:hAnsiTheme="minorHAnsi"/>
          <w:sz w:val="24"/>
          <w:szCs w:val="24"/>
        </w:rPr>
      </w:pPr>
    </w:p>
    <w:p w:rsidR="00B033A4" w:rsidRDefault="009B75AE" w:rsidP="0088713A">
      <w:pPr>
        <w:spacing w:after="60"/>
        <w:ind w:right="-567"/>
        <w:jc w:val="both"/>
        <w:rPr>
          <w:rFonts w:asciiTheme="minorHAnsi" w:hAnsiTheme="minorHAnsi"/>
          <w:sz w:val="24"/>
          <w:szCs w:val="24"/>
        </w:rPr>
      </w:pPr>
      <w:r>
        <w:rPr>
          <w:rFonts w:asciiTheme="minorHAnsi" w:hAnsiTheme="minorHAnsi"/>
          <w:sz w:val="24"/>
          <w:szCs w:val="24"/>
        </w:rPr>
        <w:t>Vse te ugotovitve so bile nazorno prikazane na Infrastrukturni konferenci Infrakon, v jeseni 2014 v Ljubljani. Pripravljeni so bili zaključki, ki so bili posredovani na številne naslov, žal brez odziva.</w:t>
      </w:r>
      <w:r w:rsidR="00B033A4">
        <w:rPr>
          <w:rFonts w:asciiTheme="minorHAnsi" w:hAnsiTheme="minorHAnsi"/>
          <w:sz w:val="24"/>
          <w:szCs w:val="24"/>
        </w:rPr>
        <w:t xml:space="preserve"> Dejstvo je, da bo promet rasel, da prinaša številna delovana mesta tako v času izvedbe projektov kot v času uporabe, zato tveganj </w:t>
      </w:r>
      <w:r w:rsidR="00BB2F45">
        <w:rPr>
          <w:rFonts w:asciiTheme="minorHAnsi" w:hAnsiTheme="minorHAnsi"/>
          <w:sz w:val="24"/>
          <w:szCs w:val="24"/>
        </w:rPr>
        <w:t xml:space="preserve">morebitno </w:t>
      </w:r>
      <w:r w:rsidR="00B033A4">
        <w:rPr>
          <w:rFonts w:asciiTheme="minorHAnsi" w:hAnsiTheme="minorHAnsi"/>
          <w:sz w:val="24"/>
          <w:szCs w:val="24"/>
        </w:rPr>
        <w:t>neustrezno</w:t>
      </w:r>
      <w:r w:rsidR="008A3E3D">
        <w:rPr>
          <w:rFonts w:asciiTheme="minorHAnsi" w:hAnsiTheme="minorHAnsi"/>
          <w:sz w:val="24"/>
          <w:szCs w:val="24"/>
        </w:rPr>
        <w:t xml:space="preserve"> vloženih sredstev praktično ni. Z</w:t>
      </w:r>
      <w:r w:rsidR="00B033A4">
        <w:rPr>
          <w:rFonts w:asciiTheme="minorHAnsi" w:hAnsiTheme="minorHAnsi"/>
          <w:sz w:val="24"/>
          <w:szCs w:val="24"/>
        </w:rPr>
        <w:t xml:space="preserve">a družbo kot celoto pa se postavlja vprašanje ali sploh imamo alternativo, če se želimo </w:t>
      </w:r>
      <w:r w:rsidR="00BB2F45">
        <w:rPr>
          <w:rFonts w:asciiTheme="minorHAnsi" w:hAnsiTheme="minorHAnsi"/>
          <w:sz w:val="24"/>
          <w:szCs w:val="24"/>
        </w:rPr>
        <w:t xml:space="preserve">gospodarsko </w:t>
      </w:r>
      <w:r w:rsidR="00B033A4">
        <w:rPr>
          <w:rFonts w:asciiTheme="minorHAnsi" w:hAnsiTheme="minorHAnsi"/>
          <w:sz w:val="24"/>
          <w:szCs w:val="24"/>
        </w:rPr>
        <w:t>razvijati.</w:t>
      </w:r>
      <w:r w:rsidR="00BB2F45">
        <w:rPr>
          <w:rFonts w:asciiTheme="minorHAnsi" w:hAnsiTheme="minorHAnsi"/>
          <w:sz w:val="24"/>
          <w:szCs w:val="24"/>
        </w:rPr>
        <w:t xml:space="preserve"> Dejstvo je, da okoliške države (Avstrija, Italija, Hrvaška,…), ki predstavljajo alternativo </w:t>
      </w:r>
      <w:r w:rsidR="008E7553">
        <w:rPr>
          <w:rFonts w:asciiTheme="minorHAnsi" w:hAnsiTheme="minorHAnsi"/>
          <w:sz w:val="24"/>
          <w:szCs w:val="24"/>
        </w:rPr>
        <w:t>Sloveniji</w:t>
      </w:r>
      <w:r w:rsidR="008A3E3D">
        <w:rPr>
          <w:rFonts w:asciiTheme="minorHAnsi" w:hAnsiTheme="minorHAnsi"/>
          <w:sz w:val="24"/>
          <w:szCs w:val="24"/>
        </w:rPr>
        <w:t>,</w:t>
      </w:r>
      <w:r w:rsidR="008E7553">
        <w:rPr>
          <w:rFonts w:asciiTheme="minorHAnsi" w:hAnsiTheme="minorHAnsi"/>
          <w:sz w:val="24"/>
          <w:szCs w:val="24"/>
        </w:rPr>
        <w:t xml:space="preserve"> </w:t>
      </w:r>
      <w:r w:rsidR="00BB2F45">
        <w:rPr>
          <w:rFonts w:asciiTheme="minorHAnsi" w:hAnsiTheme="minorHAnsi"/>
          <w:sz w:val="24"/>
          <w:szCs w:val="24"/>
        </w:rPr>
        <w:t xml:space="preserve">za </w:t>
      </w:r>
      <w:r w:rsidR="008E7553">
        <w:rPr>
          <w:rFonts w:asciiTheme="minorHAnsi" w:hAnsiTheme="minorHAnsi"/>
          <w:sz w:val="24"/>
          <w:szCs w:val="24"/>
        </w:rPr>
        <w:t>prevzem prometnih tokov,</w:t>
      </w:r>
      <w:r w:rsidR="00BB2F45">
        <w:rPr>
          <w:rFonts w:asciiTheme="minorHAnsi" w:hAnsiTheme="minorHAnsi"/>
          <w:sz w:val="24"/>
          <w:szCs w:val="24"/>
        </w:rPr>
        <w:t xml:space="preserve"> ne čakajo</w:t>
      </w:r>
      <w:r w:rsidR="008E7553">
        <w:rPr>
          <w:rFonts w:asciiTheme="minorHAnsi" w:hAnsiTheme="minorHAnsi"/>
          <w:sz w:val="24"/>
          <w:szCs w:val="24"/>
        </w:rPr>
        <w:t xml:space="preserve"> in veliko vlagajo v prometno infrastrukturo.</w:t>
      </w:r>
    </w:p>
    <w:p w:rsidR="008E7553" w:rsidRDefault="008E7553" w:rsidP="008E7553">
      <w:pPr>
        <w:spacing w:after="60"/>
        <w:ind w:right="-567"/>
        <w:jc w:val="both"/>
        <w:rPr>
          <w:rFonts w:asciiTheme="minorHAnsi" w:hAnsiTheme="minorHAnsi"/>
          <w:b/>
          <w:sz w:val="24"/>
          <w:szCs w:val="24"/>
        </w:rPr>
      </w:pPr>
    </w:p>
    <w:p w:rsidR="00423122" w:rsidRPr="008E7553" w:rsidRDefault="009B75AE" w:rsidP="008E7553">
      <w:pPr>
        <w:spacing w:after="60"/>
        <w:ind w:right="-567"/>
        <w:jc w:val="both"/>
        <w:rPr>
          <w:rFonts w:asciiTheme="minorHAnsi" w:hAnsiTheme="minorHAnsi"/>
          <w:b/>
          <w:sz w:val="24"/>
          <w:szCs w:val="24"/>
        </w:rPr>
      </w:pPr>
      <w:r w:rsidRPr="008E7553">
        <w:rPr>
          <w:rFonts w:asciiTheme="minorHAnsi" w:hAnsiTheme="minorHAnsi"/>
          <w:b/>
          <w:sz w:val="24"/>
          <w:szCs w:val="24"/>
        </w:rPr>
        <w:t>Gradnja prometne infrastrukture v Avstriji na primeru družbe Asfinag in primerjava z DARS</w:t>
      </w:r>
    </w:p>
    <w:p w:rsidR="00C35FC4" w:rsidRDefault="00C35FC4" w:rsidP="0088713A">
      <w:pPr>
        <w:spacing w:after="60"/>
        <w:ind w:right="-567"/>
        <w:jc w:val="both"/>
        <w:rPr>
          <w:rFonts w:asciiTheme="minorHAnsi" w:hAnsiTheme="minorHAnsi"/>
          <w:sz w:val="24"/>
          <w:szCs w:val="24"/>
        </w:rPr>
      </w:pPr>
    </w:p>
    <w:p w:rsidR="009B75AE" w:rsidRDefault="00C35FC4" w:rsidP="0088713A">
      <w:pPr>
        <w:spacing w:after="60"/>
        <w:ind w:right="-567"/>
        <w:jc w:val="both"/>
        <w:rPr>
          <w:rFonts w:asciiTheme="minorHAnsi" w:hAnsiTheme="minorHAnsi"/>
          <w:sz w:val="24"/>
          <w:szCs w:val="24"/>
        </w:rPr>
      </w:pPr>
      <w:r w:rsidRPr="00D25B5F">
        <w:rPr>
          <w:rFonts w:asciiTheme="minorHAnsi" w:hAnsiTheme="minorHAnsi"/>
          <w:sz w:val="24"/>
          <w:szCs w:val="24"/>
        </w:rPr>
        <w:t>Za primerjavo vidimo kako druge države, npr. Avstrija, znatna sredstva vlagajo v vzdrževanje in izgradnjo cel</w:t>
      </w:r>
      <w:r>
        <w:rPr>
          <w:rFonts w:asciiTheme="minorHAnsi" w:hAnsiTheme="minorHAnsi"/>
          <w:sz w:val="24"/>
          <w:szCs w:val="24"/>
        </w:rPr>
        <w:t>otne prometne infrastrukture. Zaradi podobnega organiziranja avtocestnih družb je možna</w:t>
      </w:r>
      <w:r w:rsidR="008E7553">
        <w:rPr>
          <w:rFonts w:asciiTheme="minorHAnsi" w:hAnsiTheme="minorHAnsi"/>
          <w:sz w:val="24"/>
          <w:szCs w:val="24"/>
        </w:rPr>
        <w:t xml:space="preserve"> odlična</w:t>
      </w:r>
      <w:r>
        <w:rPr>
          <w:rFonts w:asciiTheme="minorHAnsi" w:hAnsiTheme="minorHAnsi"/>
          <w:sz w:val="24"/>
          <w:szCs w:val="24"/>
        </w:rPr>
        <w:t xml:space="preserve"> p</w:t>
      </w:r>
      <w:r w:rsidRPr="00D25B5F">
        <w:rPr>
          <w:rFonts w:asciiTheme="minorHAnsi" w:hAnsiTheme="minorHAnsi"/>
          <w:sz w:val="24"/>
          <w:szCs w:val="24"/>
        </w:rPr>
        <w:t>rimerjava med obema državama na avt</w:t>
      </w:r>
      <w:r>
        <w:rPr>
          <w:rFonts w:asciiTheme="minorHAnsi" w:hAnsiTheme="minorHAnsi"/>
          <w:sz w:val="24"/>
          <w:szCs w:val="24"/>
        </w:rPr>
        <w:t>ocestnem sistemu.</w:t>
      </w:r>
      <w:r w:rsidRPr="00D25B5F">
        <w:rPr>
          <w:rFonts w:asciiTheme="minorHAnsi" w:hAnsiTheme="minorHAnsi"/>
          <w:sz w:val="24"/>
          <w:szCs w:val="24"/>
        </w:rPr>
        <w:t xml:space="preserve"> </w:t>
      </w:r>
      <w:r w:rsidR="009B75AE">
        <w:rPr>
          <w:rFonts w:asciiTheme="minorHAnsi" w:hAnsiTheme="minorHAnsi"/>
          <w:sz w:val="24"/>
          <w:szCs w:val="24"/>
        </w:rPr>
        <w:t xml:space="preserve">Primerjava je koristna </w:t>
      </w:r>
      <w:r w:rsidR="009B75AE">
        <w:rPr>
          <w:rFonts w:asciiTheme="minorHAnsi" w:hAnsiTheme="minorHAnsi"/>
          <w:sz w:val="24"/>
          <w:szCs w:val="24"/>
        </w:rPr>
        <w:lastRenderedPageBreak/>
        <w:t>tudi zaradi tega, ker se je pri nas nekako uveljavila miselnost, da smo avtoceste zgradili in nadaljevanje ni niti potrebno niti smiselno in ga tudi Evropa ne podpira.</w:t>
      </w:r>
      <w:r w:rsidR="008E7553">
        <w:rPr>
          <w:rFonts w:asciiTheme="minorHAnsi" w:hAnsiTheme="minorHAnsi"/>
          <w:sz w:val="24"/>
          <w:szCs w:val="24"/>
        </w:rPr>
        <w:t xml:space="preserve"> To razmišljanje je povsem </w:t>
      </w:r>
      <w:r w:rsidR="008A3E3D">
        <w:rPr>
          <w:rFonts w:asciiTheme="minorHAnsi" w:hAnsiTheme="minorHAnsi"/>
          <w:sz w:val="24"/>
          <w:szCs w:val="24"/>
        </w:rPr>
        <w:t>napačno in odstopa od realnih potreb.</w:t>
      </w:r>
    </w:p>
    <w:p w:rsidR="009B75AE" w:rsidRDefault="009B75AE" w:rsidP="0088713A">
      <w:pPr>
        <w:spacing w:after="60"/>
        <w:ind w:right="-567"/>
        <w:jc w:val="both"/>
        <w:rPr>
          <w:rFonts w:asciiTheme="minorHAnsi" w:hAnsiTheme="minorHAnsi"/>
          <w:sz w:val="24"/>
          <w:szCs w:val="24"/>
        </w:rPr>
      </w:pPr>
    </w:p>
    <w:p w:rsidR="00C35FC4" w:rsidRDefault="00C35FC4" w:rsidP="0088713A">
      <w:pPr>
        <w:spacing w:after="60"/>
        <w:ind w:right="-567"/>
        <w:jc w:val="both"/>
        <w:rPr>
          <w:rFonts w:asciiTheme="minorHAnsi" w:hAnsiTheme="minorHAnsi"/>
          <w:sz w:val="24"/>
          <w:szCs w:val="24"/>
        </w:rPr>
      </w:pPr>
      <w:r>
        <w:rPr>
          <w:rFonts w:asciiTheme="minorHAnsi" w:hAnsiTheme="minorHAnsi"/>
          <w:sz w:val="24"/>
          <w:szCs w:val="24"/>
        </w:rPr>
        <w:t xml:space="preserve">V </w:t>
      </w:r>
      <w:r w:rsidRPr="00D25B5F">
        <w:rPr>
          <w:rFonts w:asciiTheme="minorHAnsi" w:hAnsiTheme="minorHAnsi"/>
          <w:sz w:val="24"/>
          <w:szCs w:val="24"/>
        </w:rPr>
        <w:t xml:space="preserve">večini parametrov </w:t>
      </w:r>
      <w:r>
        <w:rPr>
          <w:rFonts w:asciiTheme="minorHAnsi" w:hAnsiTheme="minorHAnsi"/>
          <w:sz w:val="24"/>
          <w:szCs w:val="24"/>
        </w:rPr>
        <w:t xml:space="preserve">je Slovenija z Avstrijo </w:t>
      </w:r>
      <w:r w:rsidRPr="00D25B5F">
        <w:rPr>
          <w:rFonts w:asciiTheme="minorHAnsi" w:hAnsiTheme="minorHAnsi"/>
          <w:sz w:val="24"/>
          <w:szCs w:val="24"/>
        </w:rPr>
        <w:t>primerljiva v razmerju 1 : 4 (prebivalstvo, velikost države, dolžina prometnega infrastrukturnega omrež</w:t>
      </w:r>
      <w:r>
        <w:rPr>
          <w:rFonts w:asciiTheme="minorHAnsi" w:hAnsiTheme="minorHAnsi"/>
          <w:sz w:val="24"/>
          <w:szCs w:val="24"/>
        </w:rPr>
        <w:t>ja,….)</w:t>
      </w:r>
      <w:r w:rsidRPr="00D25B5F">
        <w:rPr>
          <w:rFonts w:asciiTheme="minorHAnsi" w:hAnsiTheme="minorHAnsi"/>
          <w:sz w:val="24"/>
          <w:szCs w:val="24"/>
        </w:rPr>
        <w:t xml:space="preserve">. Avstrija </w:t>
      </w:r>
      <w:r>
        <w:rPr>
          <w:rFonts w:asciiTheme="minorHAnsi" w:hAnsiTheme="minorHAnsi"/>
          <w:sz w:val="24"/>
          <w:szCs w:val="24"/>
        </w:rPr>
        <w:t>je tudi podobno zadolžena</w:t>
      </w:r>
      <w:r w:rsidRPr="00D25B5F">
        <w:rPr>
          <w:rFonts w:asciiTheme="minorHAnsi" w:hAnsiTheme="minorHAnsi"/>
          <w:sz w:val="24"/>
          <w:szCs w:val="24"/>
        </w:rPr>
        <w:t xml:space="preserve"> v </w:t>
      </w:r>
      <w:r>
        <w:rPr>
          <w:rFonts w:asciiTheme="minorHAnsi" w:hAnsiTheme="minorHAnsi"/>
          <w:sz w:val="24"/>
          <w:szCs w:val="24"/>
        </w:rPr>
        <w:t xml:space="preserve">deležu </w:t>
      </w:r>
      <w:r w:rsidRPr="00D25B5F">
        <w:rPr>
          <w:rFonts w:asciiTheme="minorHAnsi" w:hAnsiTheme="minorHAnsi"/>
          <w:sz w:val="24"/>
          <w:szCs w:val="24"/>
        </w:rPr>
        <w:t>BDP kot Slovenija</w:t>
      </w:r>
      <w:r w:rsidR="008E7553">
        <w:rPr>
          <w:rFonts w:asciiTheme="minorHAnsi" w:hAnsiTheme="minorHAnsi"/>
          <w:sz w:val="24"/>
          <w:szCs w:val="24"/>
        </w:rPr>
        <w:t>. Za</w:t>
      </w:r>
      <w:r>
        <w:rPr>
          <w:rFonts w:asciiTheme="minorHAnsi" w:hAnsiTheme="minorHAnsi"/>
          <w:sz w:val="24"/>
          <w:szCs w:val="24"/>
        </w:rPr>
        <w:t xml:space="preserve"> razliko od Slovenije pa Avstrija</w:t>
      </w:r>
      <w:r w:rsidRPr="00D25B5F">
        <w:rPr>
          <w:rFonts w:asciiTheme="minorHAnsi" w:hAnsiTheme="minorHAnsi"/>
          <w:sz w:val="24"/>
          <w:szCs w:val="24"/>
        </w:rPr>
        <w:t xml:space="preserve"> v zadnjih letih močno povečuje vlaganja v prometno infrastrukturo, predvsem v železnice in avtoceste, in deluje kot dober gospodar, ki v kriznem obdobju povečuje infrastrukturna vlaganja, povečuje zaposlenost in ob tem še preprečuje socialni dumping v javnem naročanju ter zagotavlja delovna mesta svoji</w:t>
      </w:r>
      <w:r>
        <w:rPr>
          <w:rFonts w:asciiTheme="minorHAnsi" w:hAnsiTheme="minorHAnsi"/>
          <w:sz w:val="24"/>
          <w:szCs w:val="24"/>
        </w:rPr>
        <w:t xml:space="preserve">m državljanom. Zato nam je </w:t>
      </w:r>
      <w:r w:rsidRPr="00D25B5F">
        <w:rPr>
          <w:rFonts w:asciiTheme="minorHAnsi" w:hAnsiTheme="minorHAnsi"/>
          <w:sz w:val="24"/>
          <w:szCs w:val="24"/>
        </w:rPr>
        <w:t>na temu področju lahko le zgled.</w:t>
      </w:r>
    </w:p>
    <w:p w:rsidR="00C35FC4" w:rsidRDefault="00C35FC4" w:rsidP="0088713A">
      <w:pPr>
        <w:spacing w:after="60"/>
        <w:ind w:right="-567"/>
        <w:jc w:val="both"/>
        <w:rPr>
          <w:rFonts w:asciiTheme="minorHAnsi" w:hAnsiTheme="minorHAnsi"/>
          <w:sz w:val="24"/>
          <w:szCs w:val="24"/>
        </w:rPr>
      </w:pPr>
    </w:p>
    <w:tbl>
      <w:tblPr>
        <w:tblW w:w="8926" w:type="dxa"/>
        <w:jc w:val="center"/>
        <w:tblCellMar>
          <w:left w:w="70" w:type="dxa"/>
          <w:right w:w="70" w:type="dxa"/>
        </w:tblCellMar>
        <w:tblLook w:val="04A0" w:firstRow="1" w:lastRow="0" w:firstColumn="1" w:lastColumn="0" w:noHBand="0" w:noVBand="1"/>
      </w:tblPr>
      <w:tblGrid>
        <w:gridCol w:w="2972"/>
        <w:gridCol w:w="1418"/>
        <w:gridCol w:w="1275"/>
        <w:gridCol w:w="1276"/>
        <w:gridCol w:w="1985"/>
      </w:tblGrid>
      <w:tr w:rsidR="00C35FC4" w:rsidRPr="0084747B" w:rsidTr="0084747B">
        <w:trPr>
          <w:trHeight w:val="576"/>
          <w:jc w:val="center"/>
        </w:trPr>
        <w:tc>
          <w:tcPr>
            <w:tcW w:w="2972" w:type="dxa"/>
            <w:tcBorders>
              <w:top w:val="single" w:sz="4" w:space="0" w:color="auto"/>
              <w:left w:val="single" w:sz="4" w:space="0" w:color="auto"/>
              <w:bottom w:val="single" w:sz="4" w:space="0" w:color="auto"/>
              <w:right w:val="single" w:sz="4" w:space="0" w:color="auto"/>
            </w:tcBorders>
            <w:shd w:val="clear" w:color="000000" w:fill="CCFFFF"/>
            <w:hideMark/>
          </w:tcPr>
          <w:p w:rsidR="00C35FC4" w:rsidRPr="0084747B" w:rsidRDefault="00C35FC4" w:rsidP="0088713A">
            <w:pPr>
              <w:spacing w:after="0" w:line="240" w:lineRule="auto"/>
              <w:ind w:right="-567"/>
              <w:jc w:val="both"/>
              <w:rPr>
                <w:rFonts w:eastAsia="Times New Roman" w:cs="Arial"/>
                <w:b/>
                <w:color w:val="0000FF"/>
                <w:sz w:val="20"/>
                <w:szCs w:val="20"/>
                <w:lang w:eastAsia="sl-SI"/>
              </w:rPr>
            </w:pPr>
            <w:r w:rsidRPr="0084747B">
              <w:rPr>
                <w:rFonts w:eastAsia="Times New Roman" w:cs="Arial"/>
                <w:b/>
                <w:color w:val="0000FF"/>
                <w:sz w:val="20"/>
                <w:szCs w:val="20"/>
                <w:lang w:eastAsia="sl-SI"/>
              </w:rPr>
              <w:t> </w:t>
            </w:r>
          </w:p>
        </w:tc>
        <w:tc>
          <w:tcPr>
            <w:tcW w:w="1418" w:type="dxa"/>
            <w:tcBorders>
              <w:top w:val="single" w:sz="4" w:space="0" w:color="auto"/>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b/>
                <w:color w:val="0000FF"/>
                <w:sz w:val="20"/>
                <w:szCs w:val="20"/>
                <w:lang w:eastAsia="sl-SI"/>
              </w:rPr>
            </w:pPr>
            <w:r w:rsidRPr="0084747B">
              <w:rPr>
                <w:rFonts w:eastAsia="Times New Roman" w:cs="Arial"/>
                <w:b/>
                <w:color w:val="0000FF"/>
                <w:sz w:val="20"/>
                <w:szCs w:val="20"/>
                <w:lang w:eastAsia="sl-SI"/>
              </w:rPr>
              <w:t> </w:t>
            </w:r>
          </w:p>
        </w:tc>
        <w:tc>
          <w:tcPr>
            <w:tcW w:w="1275" w:type="dxa"/>
            <w:tcBorders>
              <w:top w:val="single" w:sz="4" w:space="0" w:color="auto"/>
              <w:left w:val="nil"/>
              <w:bottom w:val="single" w:sz="4" w:space="0" w:color="auto"/>
              <w:right w:val="single" w:sz="4" w:space="0" w:color="auto"/>
            </w:tcBorders>
            <w:shd w:val="clear" w:color="000000" w:fill="CCFFFF"/>
            <w:hideMark/>
          </w:tcPr>
          <w:p w:rsidR="0084747B" w:rsidRPr="0084747B" w:rsidRDefault="00C35FC4" w:rsidP="0084747B">
            <w:pPr>
              <w:spacing w:after="0" w:line="240" w:lineRule="auto"/>
              <w:ind w:right="-567"/>
              <w:rPr>
                <w:rFonts w:eastAsia="Times New Roman" w:cs="Arial"/>
                <w:b/>
                <w:color w:val="0000FF"/>
                <w:sz w:val="20"/>
                <w:szCs w:val="20"/>
                <w:lang w:eastAsia="sl-SI"/>
              </w:rPr>
            </w:pPr>
            <w:r w:rsidRPr="0084747B">
              <w:rPr>
                <w:rFonts w:eastAsia="Times New Roman" w:cs="Arial"/>
                <w:b/>
                <w:color w:val="0000FF"/>
                <w:sz w:val="20"/>
                <w:szCs w:val="20"/>
                <w:lang w:eastAsia="sl-SI"/>
              </w:rPr>
              <w:t>Slovenija</w:t>
            </w:r>
          </w:p>
          <w:p w:rsidR="00C35FC4" w:rsidRPr="0084747B" w:rsidRDefault="00C35FC4" w:rsidP="0084747B">
            <w:pPr>
              <w:spacing w:after="0" w:line="240" w:lineRule="auto"/>
              <w:ind w:right="-567"/>
              <w:rPr>
                <w:rFonts w:eastAsia="Times New Roman" w:cs="Arial"/>
                <w:b/>
                <w:color w:val="0000FF"/>
                <w:sz w:val="20"/>
                <w:szCs w:val="20"/>
                <w:lang w:eastAsia="sl-SI"/>
              </w:rPr>
            </w:pPr>
            <w:r w:rsidRPr="0084747B">
              <w:rPr>
                <w:rFonts w:eastAsia="Times New Roman" w:cs="Arial"/>
                <w:b/>
                <w:color w:val="0000FF"/>
                <w:sz w:val="20"/>
                <w:szCs w:val="20"/>
                <w:lang w:eastAsia="sl-SI"/>
              </w:rPr>
              <w:t xml:space="preserve"> (DARS)</w:t>
            </w:r>
          </w:p>
        </w:tc>
        <w:tc>
          <w:tcPr>
            <w:tcW w:w="1276" w:type="dxa"/>
            <w:tcBorders>
              <w:top w:val="single" w:sz="4" w:space="0" w:color="auto"/>
              <w:left w:val="nil"/>
              <w:bottom w:val="single" w:sz="4" w:space="0" w:color="auto"/>
              <w:right w:val="single" w:sz="4" w:space="0" w:color="auto"/>
            </w:tcBorders>
            <w:shd w:val="clear" w:color="000000" w:fill="CCFFFF"/>
            <w:hideMark/>
          </w:tcPr>
          <w:p w:rsidR="0084747B" w:rsidRDefault="00C35FC4" w:rsidP="0084747B">
            <w:pPr>
              <w:spacing w:after="0" w:line="240" w:lineRule="auto"/>
              <w:ind w:right="-567"/>
              <w:rPr>
                <w:rFonts w:eastAsia="Times New Roman" w:cs="Arial"/>
                <w:b/>
                <w:color w:val="0000FF"/>
                <w:sz w:val="20"/>
                <w:szCs w:val="20"/>
                <w:lang w:eastAsia="sl-SI"/>
              </w:rPr>
            </w:pPr>
            <w:r w:rsidRPr="0084747B">
              <w:rPr>
                <w:rFonts w:eastAsia="Times New Roman" w:cs="Arial"/>
                <w:b/>
                <w:color w:val="0000FF"/>
                <w:sz w:val="20"/>
                <w:szCs w:val="20"/>
                <w:lang w:eastAsia="sl-SI"/>
              </w:rPr>
              <w:t>Avstrija</w:t>
            </w:r>
          </w:p>
          <w:p w:rsidR="00C35FC4" w:rsidRPr="0084747B" w:rsidRDefault="00C35FC4" w:rsidP="0084747B">
            <w:pPr>
              <w:spacing w:after="0" w:line="240" w:lineRule="auto"/>
              <w:ind w:right="-567"/>
              <w:rPr>
                <w:rFonts w:eastAsia="Times New Roman" w:cs="Arial"/>
                <w:b/>
                <w:color w:val="0000FF"/>
                <w:sz w:val="20"/>
                <w:szCs w:val="20"/>
                <w:lang w:eastAsia="sl-SI"/>
              </w:rPr>
            </w:pPr>
            <w:r w:rsidRPr="0084747B">
              <w:rPr>
                <w:rFonts w:eastAsia="Times New Roman" w:cs="Arial"/>
                <w:b/>
                <w:color w:val="0000FF"/>
                <w:sz w:val="20"/>
                <w:szCs w:val="20"/>
                <w:lang w:eastAsia="sl-SI"/>
              </w:rPr>
              <w:t xml:space="preserve"> (Asfinag)</w:t>
            </w:r>
          </w:p>
        </w:tc>
        <w:tc>
          <w:tcPr>
            <w:tcW w:w="1985" w:type="dxa"/>
            <w:tcBorders>
              <w:top w:val="single" w:sz="4" w:space="0" w:color="auto"/>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b/>
                <w:color w:val="0000FF"/>
                <w:sz w:val="20"/>
                <w:szCs w:val="20"/>
                <w:lang w:eastAsia="sl-SI"/>
              </w:rPr>
            </w:pPr>
            <w:r w:rsidRPr="0084747B">
              <w:rPr>
                <w:rFonts w:eastAsia="Times New Roman" w:cs="Arial"/>
                <w:b/>
                <w:color w:val="0000FF"/>
                <w:sz w:val="20"/>
                <w:szCs w:val="20"/>
                <w:lang w:eastAsia="sl-SI"/>
              </w:rPr>
              <w:t>Faktor</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000000" w:fill="CCFFFF"/>
            <w:hideMark/>
          </w:tcPr>
          <w:p w:rsidR="00C35FC4" w:rsidRPr="0084747B" w:rsidRDefault="00C35FC4" w:rsidP="0088713A">
            <w:pPr>
              <w:spacing w:after="0" w:line="240" w:lineRule="auto"/>
              <w:ind w:right="-567"/>
              <w:jc w:val="both"/>
              <w:rPr>
                <w:rFonts w:eastAsia="Times New Roman" w:cs="Arial"/>
                <w:b/>
                <w:bCs/>
                <w:color w:val="0000FF"/>
                <w:sz w:val="20"/>
                <w:szCs w:val="20"/>
                <w:lang w:eastAsia="sl-SI"/>
              </w:rPr>
            </w:pPr>
            <w:r w:rsidRPr="0084747B">
              <w:rPr>
                <w:rFonts w:eastAsia="Times New Roman" w:cs="Arial"/>
                <w:b/>
                <w:bCs/>
                <w:color w:val="0000FF"/>
                <w:sz w:val="20"/>
                <w:szCs w:val="20"/>
                <w:lang w:eastAsia="sl-SI"/>
              </w:rPr>
              <w:t>- splošno</w:t>
            </w:r>
          </w:p>
        </w:tc>
        <w:tc>
          <w:tcPr>
            <w:tcW w:w="1418" w:type="dxa"/>
            <w:tcBorders>
              <w:top w:val="nil"/>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b/>
                <w:bCs/>
                <w:sz w:val="20"/>
                <w:szCs w:val="20"/>
                <w:lang w:eastAsia="sl-SI"/>
              </w:rPr>
            </w:pPr>
            <w:r w:rsidRPr="0084747B">
              <w:rPr>
                <w:rFonts w:eastAsia="Times New Roman" w:cs="Arial"/>
                <w:b/>
                <w:bCs/>
                <w:sz w:val="20"/>
                <w:szCs w:val="20"/>
                <w:lang w:eastAsia="sl-SI"/>
              </w:rPr>
              <w:t> </w:t>
            </w:r>
          </w:p>
        </w:tc>
        <w:tc>
          <w:tcPr>
            <w:tcW w:w="1275" w:type="dxa"/>
            <w:tcBorders>
              <w:top w:val="nil"/>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b/>
                <w:bCs/>
                <w:sz w:val="20"/>
                <w:szCs w:val="20"/>
                <w:lang w:eastAsia="sl-SI"/>
              </w:rPr>
            </w:pPr>
            <w:r w:rsidRPr="0084747B">
              <w:rPr>
                <w:rFonts w:eastAsia="Times New Roman" w:cs="Arial"/>
                <w:b/>
                <w:bCs/>
                <w:sz w:val="20"/>
                <w:szCs w:val="20"/>
                <w:lang w:eastAsia="sl-SI"/>
              </w:rPr>
              <w:t> </w:t>
            </w:r>
          </w:p>
        </w:tc>
        <w:tc>
          <w:tcPr>
            <w:tcW w:w="1276" w:type="dxa"/>
            <w:tcBorders>
              <w:top w:val="nil"/>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b/>
                <w:bCs/>
                <w:sz w:val="20"/>
                <w:szCs w:val="20"/>
                <w:lang w:eastAsia="sl-SI"/>
              </w:rPr>
            </w:pPr>
            <w:r w:rsidRPr="0084747B">
              <w:rPr>
                <w:rFonts w:eastAsia="Times New Roman" w:cs="Arial"/>
                <w:b/>
                <w:bCs/>
                <w:sz w:val="20"/>
                <w:szCs w:val="20"/>
                <w:lang w:eastAsia="sl-SI"/>
              </w:rPr>
              <w:t> </w:t>
            </w:r>
          </w:p>
        </w:tc>
        <w:tc>
          <w:tcPr>
            <w:tcW w:w="1985" w:type="dxa"/>
            <w:tcBorders>
              <w:top w:val="nil"/>
              <w:left w:val="nil"/>
              <w:bottom w:val="single" w:sz="4" w:space="0" w:color="auto"/>
              <w:right w:val="single" w:sz="4" w:space="0" w:color="auto"/>
            </w:tcBorders>
            <w:shd w:val="clear" w:color="000000" w:fill="CCFFFF"/>
            <w:hideMark/>
          </w:tcPr>
          <w:p w:rsidR="00C35FC4" w:rsidRPr="0084747B" w:rsidRDefault="009B75AE" w:rsidP="0084747B">
            <w:pPr>
              <w:spacing w:after="0" w:line="240" w:lineRule="auto"/>
              <w:ind w:right="-567"/>
              <w:rPr>
                <w:rFonts w:eastAsia="Times New Roman" w:cs="Arial"/>
                <w:b/>
                <w:bCs/>
                <w:color w:val="0000FF"/>
                <w:sz w:val="20"/>
                <w:szCs w:val="20"/>
                <w:lang w:eastAsia="sl-SI"/>
              </w:rPr>
            </w:pPr>
            <w:r w:rsidRPr="0084747B">
              <w:rPr>
                <w:rFonts w:eastAsia="Times New Roman" w:cs="Arial"/>
                <w:b/>
                <w:bCs/>
                <w:color w:val="0000FF"/>
                <w:sz w:val="20"/>
                <w:szCs w:val="20"/>
                <w:lang w:eastAsia="sl-SI"/>
              </w:rPr>
              <w:t>Avstrija : Slovenija</w:t>
            </w:r>
          </w:p>
        </w:tc>
      </w:tr>
      <w:tr w:rsidR="00C35FC4" w:rsidRPr="0084747B" w:rsidTr="0084747B">
        <w:trPr>
          <w:trHeight w:val="324"/>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Velikost države</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FF0589"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k</w:t>
            </w:r>
            <w:r w:rsidR="00C35FC4" w:rsidRPr="0084747B">
              <w:rPr>
                <w:rFonts w:eastAsia="Times New Roman" w:cs="Arial"/>
                <w:sz w:val="20"/>
                <w:szCs w:val="20"/>
                <w:lang w:eastAsia="sl-SI"/>
              </w:rPr>
              <w:t>m</w:t>
            </w:r>
            <w:r w:rsidR="00C35FC4" w:rsidRPr="0084747B">
              <w:rPr>
                <w:rFonts w:eastAsia="Times New Roman" w:cs="Arial"/>
                <w:sz w:val="20"/>
                <w:szCs w:val="20"/>
                <w:vertAlign w:val="superscript"/>
                <w:lang w:eastAsia="sl-SI"/>
              </w:rPr>
              <w:t>2</w:t>
            </w:r>
          </w:p>
        </w:tc>
        <w:tc>
          <w:tcPr>
            <w:tcW w:w="127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20.500</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84.000</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4,1</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Število prebivalcev</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w:t>
            </w:r>
          </w:p>
        </w:tc>
        <w:tc>
          <w:tcPr>
            <w:tcW w:w="127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2,1</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8,58</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4,1</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BDP</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mrd EUR</w:t>
            </w:r>
          </w:p>
        </w:tc>
        <w:tc>
          <w:tcPr>
            <w:tcW w:w="127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45</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323</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7,2</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Zadolženost v BDP</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85</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80</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1,0</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000000" w:fill="CCFFFF"/>
            <w:hideMark/>
          </w:tcPr>
          <w:p w:rsidR="00C35FC4" w:rsidRPr="0084747B" w:rsidRDefault="00C35FC4" w:rsidP="0088713A">
            <w:pPr>
              <w:spacing w:after="0" w:line="240" w:lineRule="auto"/>
              <w:ind w:right="-567"/>
              <w:jc w:val="both"/>
              <w:rPr>
                <w:rFonts w:eastAsia="Times New Roman" w:cs="Arial"/>
                <w:b/>
                <w:bCs/>
                <w:color w:val="0000FF"/>
                <w:sz w:val="20"/>
                <w:szCs w:val="20"/>
                <w:lang w:eastAsia="sl-SI"/>
              </w:rPr>
            </w:pPr>
            <w:r w:rsidRPr="0084747B">
              <w:rPr>
                <w:rFonts w:eastAsia="Times New Roman" w:cs="Arial"/>
                <w:b/>
                <w:bCs/>
                <w:color w:val="0000FF"/>
                <w:sz w:val="20"/>
                <w:szCs w:val="20"/>
                <w:lang w:eastAsia="sl-SI"/>
              </w:rPr>
              <w:t>- avtoceste</w:t>
            </w:r>
          </w:p>
        </w:tc>
        <w:tc>
          <w:tcPr>
            <w:tcW w:w="1418" w:type="dxa"/>
            <w:tcBorders>
              <w:top w:val="nil"/>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 </w:t>
            </w:r>
          </w:p>
        </w:tc>
        <w:tc>
          <w:tcPr>
            <w:tcW w:w="1275" w:type="dxa"/>
            <w:tcBorders>
              <w:top w:val="nil"/>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 </w:t>
            </w:r>
          </w:p>
        </w:tc>
        <w:tc>
          <w:tcPr>
            <w:tcW w:w="1276" w:type="dxa"/>
            <w:tcBorders>
              <w:top w:val="nil"/>
              <w:left w:val="nil"/>
              <w:bottom w:val="single" w:sz="4" w:space="0" w:color="auto"/>
              <w:right w:val="single" w:sz="4" w:space="0" w:color="auto"/>
            </w:tcBorders>
            <w:shd w:val="clear" w:color="000000" w:fill="CC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 </w:t>
            </w:r>
          </w:p>
        </w:tc>
        <w:tc>
          <w:tcPr>
            <w:tcW w:w="1985" w:type="dxa"/>
            <w:tcBorders>
              <w:top w:val="nil"/>
              <w:left w:val="nil"/>
              <w:bottom w:val="single" w:sz="4" w:space="0" w:color="auto"/>
              <w:right w:val="single" w:sz="4" w:space="0" w:color="auto"/>
            </w:tcBorders>
            <w:shd w:val="clear" w:color="000000" w:fill="CCFFFF"/>
            <w:hideMark/>
          </w:tcPr>
          <w:p w:rsidR="00C35FC4" w:rsidRPr="0084747B" w:rsidRDefault="009B75AE" w:rsidP="0084747B">
            <w:pPr>
              <w:spacing w:after="0" w:line="240" w:lineRule="auto"/>
              <w:ind w:right="-567"/>
              <w:rPr>
                <w:rFonts w:eastAsia="Times New Roman" w:cs="Arial"/>
                <w:b/>
                <w:sz w:val="20"/>
                <w:szCs w:val="20"/>
                <w:lang w:eastAsia="sl-SI"/>
              </w:rPr>
            </w:pPr>
            <w:r w:rsidRPr="0084747B">
              <w:rPr>
                <w:rFonts w:eastAsia="Times New Roman" w:cs="Arial"/>
                <w:b/>
                <w:color w:val="0000FF"/>
                <w:sz w:val="20"/>
                <w:szCs w:val="20"/>
                <w:lang w:eastAsia="sl-SI"/>
              </w:rPr>
              <w:t>Asfinag : DARS</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Omrežje</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km</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B033A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607</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2.183</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B033A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3,6</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 xml:space="preserve">Povprečna cena </w:t>
            </w:r>
            <w:r w:rsidR="00B033A4" w:rsidRPr="0084747B">
              <w:rPr>
                <w:rFonts w:eastAsia="Times New Roman" w:cs="Arial"/>
                <w:sz w:val="20"/>
                <w:szCs w:val="20"/>
                <w:lang w:eastAsia="sl-SI"/>
              </w:rPr>
              <w:t xml:space="preserve">avtocest </w:t>
            </w:r>
          </w:p>
          <w:p w:rsidR="00C35FC4" w:rsidRPr="0084747B" w:rsidRDefault="00B033A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po kilometru</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EUR/km</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10 – 12</w:t>
            </w:r>
          </w:p>
          <w:p w:rsidR="00C35FC4" w:rsidRPr="0084747B" w:rsidRDefault="00C35FC4" w:rsidP="0084747B">
            <w:pPr>
              <w:spacing w:after="0" w:line="240" w:lineRule="auto"/>
              <w:ind w:right="-567"/>
              <w:rPr>
                <w:rFonts w:eastAsia="Times New Roman" w:cs="Arial"/>
                <w:sz w:val="20"/>
                <w:szCs w:val="20"/>
                <w:lang w:eastAsia="sl-SI"/>
              </w:rPr>
            </w:pP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20 -25</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2,0</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Prihodki iz cestnin</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B033A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344</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1.622</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B033A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4,7</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Zadolženost</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9B75AE"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2.633</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11.500</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4</w:t>
            </w:r>
            <w:r w:rsidR="00B033A4" w:rsidRPr="0084747B">
              <w:rPr>
                <w:rFonts w:eastAsia="Times New Roman" w:cs="Arial"/>
                <w:sz w:val="20"/>
                <w:szCs w:val="20"/>
                <w:lang w:eastAsia="sl-SI"/>
              </w:rPr>
              <w:t>,4</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Število zaposlenih</w:t>
            </w:r>
            <w:r w:rsidR="009B75AE" w:rsidRPr="0084747B">
              <w:rPr>
                <w:rFonts w:eastAsia="Times New Roman" w:cs="Arial"/>
                <w:sz w:val="20"/>
                <w:szCs w:val="20"/>
                <w:lang w:eastAsia="sl-SI"/>
              </w:rPr>
              <w:t xml:space="preserve"> 2014</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zaposleni</w:t>
            </w:r>
          </w:p>
        </w:tc>
        <w:tc>
          <w:tcPr>
            <w:tcW w:w="1275" w:type="dxa"/>
            <w:tcBorders>
              <w:top w:val="nil"/>
              <w:left w:val="nil"/>
              <w:bottom w:val="nil"/>
              <w:right w:val="nil"/>
            </w:tcBorders>
            <w:shd w:val="clear" w:color="000000" w:fill="FFFFFF"/>
            <w:noWrap/>
            <w:vAlign w:val="bottom"/>
            <w:hideMark/>
          </w:tcPr>
          <w:p w:rsidR="00C35FC4" w:rsidRPr="0084747B" w:rsidRDefault="009B75AE"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1.237</w:t>
            </w:r>
          </w:p>
        </w:tc>
        <w:tc>
          <w:tcPr>
            <w:tcW w:w="1276"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2.667</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2,1</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Investicije 2014</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single" w:sz="4" w:space="0" w:color="auto"/>
              <w:left w:val="nil"/>
              <w:bottom w:val="single" w:sz="4" w:space="0" w:color="auto"/>
              <w:right w:val="single" w:sz="4" w:space="0" w:color="auto"/>
            </w:tcBorders>
            <w:shd w:val="clear" w:color="000000" w:fill="FFFFFF"/>
            <w:hideMark/>
          </w:tcPr>
          <w:p w:rsidR="00C35FC4" w:rsidRPr="0084747B" w:rsidRDefault="009B75AE"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75,5</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632</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B033A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8,4</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1D54C3"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Plan investicij 2015 – 2020</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color w:val="0000FF"/>
                <w:sz w:val="20"/>
                <w:szCs w:val="20"/>
                <w:lang w:eastAsia="sl-SI"/>
              </w:rPr>
              <w:t>ni podatka</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6.900</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Investicije 2015</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100-127</w:t>
            </w:r>
          </w:p>
        </w:tc>
        <w:tc>
          <w:tcPr>
            <w:tcW w:w="1276" w:type="dxa"/>
            <w:tcBorders>
              <w:top w:val="nil"/>
              <w:left w:val="nil"/>
              <w:bottom w:val="single" w:sz="4" w:space="0" w:color="auto"/>
              <w:right w:val="single" w:sz="4" w:space="0" w:color="auto"/>
            </w:tcBorders>
            <w:shd w:val="clear" w:color="auto" w:fill="auto"/>
            <w:hideMark/>
          </w:tcPr>
          <w:p w:rsidR="00D56574" w:rsidRPr="0084747B" w:rsidRDefault="00D5657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985</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9,7</w:t>
            </w:r>
          </w:p>
        </w:tc>
      </w:tr>
      <w:tr w:rsidR="00C35FC4" w:rsidRPr="0084747B" w:rsidTr="0084747B">
        <w:trPr>
          <w:trHeight w:val="288"/>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Obnove 2014</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31</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320</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10,3</w:t>
            </w:r>
          </w:p>
        </w:tc>
      </w:tr>
      <w:tr w:rsidR="00C35FC4" w:rsidRPr="0084747B" w:rsidTr="0084747B">
        <w:trPr>
          <w:trHeight w:val="435"/>
          <w:jc w:val="center"/>
        </w:trPr>
        <w:tc>
          <w:tcPr>
            <w:tcW w:w="2972" w:type="dxa"/>
            <w:tcBorders>
              <w:top w:val="nil"/>
              <w:left w:val="single" w:sz="4" w:space="0" w:color="auto"/>
              <w:bottom w:val="single" w:sz="4" w:space="0" w:color="auto"/>
              <w:right w:val="single" w:sz="4" w:space="0" w:color="auto"/>
            </w:tcBorders>
            <w:shd w:val="clear" w:color="auto" w:fill="auto"/>
            <w:hideMark/>
          </w:tcPr>
          <w:p w:rsidR="00C35FC4" w:rsidRPr="0084747B" w:rsidRDefault="00C35FC4" w:rsidP="0088713A">
            <w:pPr>
              <w:spacing w:after="0" w:line="240" w:lineRule="auto"/>
              <w:ind w:right="-567"/>
              <w:jc w:val="both"/>
              <w:rPr>
                <w:rFonts w:eastAsia="Times New Roman" w:cs="Arial"/>
                <w:sz w:val="20"/>
                <w:szCs w:val="20"/>
                <w:lang w:eastAsia="sl-SI"/>
              </w:rPr>
            </w:pPr>
            <w:r w:rsidRPr="0084747B">
              <w:rPr>
                <w:rFonts w:eastAsia="Times New Roman" w:cs="Arial"/>
                <w:sz w:val="20"/>
                <w:szCs w:val="20"/>
                <w:lang w:eastAsia="sl-SI"/>
              </w:rPr>
              <w:t xml:space="preserve">Plan obnov 2015 letno </w:t>
            </w:r>
          </w:p>
        </w:tc>
        <w:tc>
          <w:tcPr>
            <w:tcW w:w="1418"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mio EUR</w:t>
            </w:r>
          </w:p>
        </w:tc>
        <w:tc>
          <w:tcPr>
            <w:tcW w:w="1275" w:type="dxa"/>
            <w:tcBorders>
              <w:top w:val="nil"/>
              <w:left w:val="nil"/>
              <w:bottom w:val="single" w:sz="4" w:space="0" w:color="auto"/>
              <w:right w:val="single" w:sz="4" w:space="0" w:color="auto"/>
            </w:tcBorders>
            <w:shd w:val="clear" w:color="000000" w:fill="FFFFFF"/>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51</w:t>
            </w:r>
          </w:p>
        </w:tc>
        <w:tc>
          <w:tcPr>
            <w:tcW w:w="1276"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460</w:t>
            </w:r>
          </w:p>
        </w:tc>
        <w:tc>
          <w:tcPr>
            <w:tcW w:w="1985" w:type="dxa"/>
            <w:tcBorders>
              <w:top w:val="nil"/>
              <w:left w:val="nil"/>
              <w:bottom w:val="single" w:sz="4" w:space="0" w:color="auto"/>
              <w:right w:val="single" w:sz="4" w:space="0" w:color="auto"/>
            </w:tcBorders>
            <w:shd w:val="clear" w:color="auto" w:fill="auto"/>
            <w:hideMark/>
          </w:tcPr>
          <w:p w:rsidR="00C35FC4" w:rsidRPr="0084747B" w:rsidRDefault="00C35FC4" w:rsidP="0084747B">
            <w:pPr>
              <w:spacing w:after="0" w:line="240" w:lineRule="auto"/>
              <w:ind w:right="-567"/>
              <w:rPr>
                <w:rFonts w:eastAsia="Times New Roman" w:cs="Arial"/>
                <w:sz w:val="20"/>
                <w:szCs w:val="20"/>
                <w:lang w:eastAsia="sl-SI"/>
              </w:rPr>
            </w:pPr>
            <w:r w:rsidRPr="0084747B">
              <w:rPr>
                <w:rFonts w:eastAsia="Times New Roman" w:cs="Arial"/>
                <w:sz w:val="20"/>
                <w:szCs w:val="20"/>
                <w:lang w:eastAsia="sl-SI"/>
              </w:rPr>
              <w:t>9,2</w:t>
            </w:r>
          </w:p>
        </w:tc>
      </w:tr>
    </w:tbl>
    <w:p w:rsidR="00C35FC4" w:rsidRPr="007227F7" w:rsidRDefault="00C35FC4" w:rsidP="0088713A">
      <w:pPr>
        <w:spacing w:after="60"/>
        <w:ind w:right="-567"/>
        <w:jc w:val="both"/>
        <w:rPr>
          <w:rFonts w:asciiTheme="minorHAnsi" w:hAnsiTheme="minorHAnsi"/>
          <w:b/>
          <w:i/>
          <w:sz w:val="20"/>
          <w:szCs w:val="20"/>
        </w:rPr>
      </w:pPr>
      <w:r w:rsidRPr="007227F7">
        <w:rPr>
          <w:rFonts w:asciiTheme="minorHAnsi" w:hAnsiTheme="minorHAnsi"/>
          <w:b/>
          <w:i/>
          <w:sz w:val="20"/>
          <w:szCs w:val="20"/>
        </w:rPr>
        <w:t>Tabela 1</w:t>
      </w:r>
      <w:r w:rsidR="00FF0589" w:rsidRPr="007227F7">
        <w:rPr>
          <w:rFonts w:asciiTheme="minorHAnsi" w:hAnsiTheme="minorHAnsi"/>
          <w:b/>
          <w:i/>
          <w:sz w:val="20"/>
          <w:szCs w:val="20"/>
        </w:rPr>
        <w:t>:</w:t>
      </w:r>
      <w:r w:rsidRPr="007227F7">
        <w:rPr>
          <w:rFonts w:asciiTheme="minorHAnsi" w:hAnsiTheme="minorHAnsi"/>
          <w:b/>
          <w:i/>
          <w:sz w:val="20"/>
          <w:szCs w:val="20"/>
        </w:rPr>
        <w:t xml:space="preserve"> Primerjava Slovenije in Avstrije</w:t>
      </w:r>
    </w:p>
    <w:p w:rsidR="00B033A4" w:rsidRPr="009C5D5D" w:rsidRDefault="00B033A4" w:rsidP="0088713A">
      <w:pPr>
        <w:spacing w:after="60"/>
        <w:ind w:right="-567"/>
        <w:jc w:val="both"/>
        <w:rPr>
          <w:rFonts w:asciiTheme="minorHAnsi" w:hAnsiTheme="minorHAnsi"/>
          <w:b/>
          <w:i/>
          <w:sz w:val="24"/>
          <w:szCs w:val="24"/>
        </w:rPr>
      </w:pPr>
    </w:p>
    <w:p w:rsidR="00B033A4" w:rsidRPr="00E57192" w:rsidRDefault="00826322" w:rsidP="0088713A">
      <w:pPr>
        <w:spacing w:after="60"/>
        <w:ind w:right="-567"/>
        <w:jc w:val="both"/>
        <w:rPr>
          <w:rFonts w:asciiTheme="minorHAnsi" w:hAnsiTheme="minorHAnsi"/>
          <w:sz w:val="24"/>
          <w:szCs w:val="24"/>
        </w:rPr>
      </w:pPr>
      <w:r>
        <w:rPr>
          <w:rFonts w:asciiTheme="minorHAnsi" w:hAnsiTheme="minorHAnsi"/>
          <w:sz w:val="24"/>
          <w:szCs w:val="24"/>
        </w:rPr>
        <w:t>Iz tabele 1 je nazorno razvidno</w:t>
      </w:r>
      <w:r w:rsidR="00B033A4" w:rsidRPr="00E57192">
        <w:rPr>
          <w:rFonts w:asciiTheme="minorHAnsi" w:hAnsiTheme="minorHAnsi"/>
          <w:sz w:val="24"/>
          <w:szCs w:val="24"/>
        </w:rPr>
        <w:t xml:space="preserve"> kako se načrtuje razvo</w:t>
      </w:r>
      <w:r>
        <w:rPr>
          <w:rFonts w:asciiTheme="minorHAnsi" w:hAnsiTheme="minorHAnsi"/>
          <w:sz w:val="24"/>
          <w:szCs w:val="24"/>
        </w:rPr>
        <w:t>j in ohranjanje infrastrukture</w:t>
      </w:r>
      <w:r w:rsidR="00B033A4" w:rsidRPr="00E57192">
        <w:rPr>
          <w:rFonts w:asciiTheme="minorHAnsi" w:hAnsiTheme="minorHAnsi"/>
          <w:sz w:val="24"/>
          <w:szCs w:val="24"/>
        </w:rPr>
        <w:t xml:space="preserve"> v Avstriji.</w:t>
      </w:r>
      <w:r>
        <w:rPr>
          <w:rFonts w:asciiTheme="minorHAnsi" w:hAnsiTheme="minorHAnsi"/>
          <w:sz w:val="24"/>
          <w:szCs w:val="24"/>
        </w:rPr>
        <w:t xml:space="preserve"> Vlaganja </w:t>
      </w:r>
      <w:r w:rsidR="008E7553">
        <w:rPr>
          <w:rFonts w:asciiTheme="minorHAnsi" w:hAnsiTheme="minorHAnsi"/>
          <w:sz w:val="24"/>
          <w:szCs w:val="24"/>
        </w:rPr>
        <w:t xml:space="preserve">pri njih v zadnjih letih </w:t>
      </w:r>
      <w:r>
        <w:rPr>
          <w:rFonts w:asciiTheme="minorHAnsi" w:hAnsiTheme="minorHAnsi"/>
          <w:sz w:val="24"/>
          <w:szCs w:val="24"/>
        </w:rPr>
        <w:t xml:space="preserve">so </w:t>
      </w:r>
      <w:r w:rsidR="008E7553">
        <w:rPr>
          <w:rFonts w:asciiTheme="minorHAnsi" w:hAnsiTheme="minorHAnsi"/>
          <w:sz w:val="24"/>
          <w:szCs w:val="24"/>
        </w:rPr>
        <w:t>v relativnem pogledu ob</w:t>
      </w:r>
      <w:r>
        <w:rPr>
          <w:rFonts w:asciiTheme="minorHAnsi" w:hAnsiTheme="minorHAnsi"/>
          <w:sz w:val="24"/>
          <w:szCs w:val="24"/>
        </w:rPr>
        <w:t xml:space="preserve"> </w:t>
      </w:r>
      <w:r w:rsidR="008E7553">
        <w:rPr>
          <w:rFonts w:asciiTheme="minorHAnsi" w:hAnsiTheme="minorHAnsi"/>
          <w:sz w:val="24"/>
          <w:szCs w:val="24"/>
        </w:rPr>
        <w:t>upoštevanju dolžine omrežja</w:t>
      </w:r>
      <w:r>
        <w:rPr>
          <w:rFonts w:asciiTheme="minorHAnsi" w:hAnsiTheme="minorHAnsi"/>
          <w:sz w:val="24"/>
          <w:szCs w:val="24"/>
        </w:rPr>
        <w:t xml:space="preserve"> 2 do 3 krat višja</w:t>
      </w:r>
      <w:r w:rsidR="008E7553">
        <w:rPr>
          <w:rFonts w:asciiTheme="minorHAnsi" w:hAnsiTheme="minorHAnsi"/>
          <w:sz w:val="24"/>
          <w:szCs w:val="24"/>
        </w:rPr>
        <w:t xml:space="preserve"> kot v Sloveniji</w:t>
      </w:r>
      <w:r>
        <w:rPr>
          <w:rFonts w:asciiTheme="minorHAnsi" w:hAnsiTheme="minorHAnsi"/>
          <w:sz w:val="24"/>
          <w:szCs w:val="24"/>
        </w:rPr>
        <w:t>.</w:t>
      </w:r>
      <w:r w:rsidR="008E7553">
        <w:rPr>
          <w:rFonts w:asciiTheme="minorHAnsi" w:hAnsiTheme="minorHAnsi"/>
          <w:sz w:val="24"/>
          <w:szCs w:val="24"/>
        </w:rPr>
        <w:t xml:space="preserve"> Avstrija investira v avtoceste kljub temu, da so vsaj tako </w:t>
      </w:r>
      <w:r w:rsidR="008A3E3D">
        <w:rPr>
          <w:rFonts w:asciiTheme="minorHAnsi" w:hAnsiTheme="minorHAnsi"/>
          <w:sz w:val="24"/>
          <w:szCs w:val="24"/>
        </w:rPr>
        <w:t xml:space="preserve">zmogljive kot naše in </w:t>
      </w:r>
      <w:r w:rsidR="008E7553">
        <w:rPr>
          <w:rFonts w:asciiTheme="minorHAnsi" w:hAnsiTheme="minorHAnsi"/>
          <w:sz w:val="24"/>
          <w:szCs w:val="24"/>
        </w:rPr>
        <w:t xml:space="preserve"> pospešeno razvija svoje železniško omrežje. Zavedajo se, da so za sledenje časa in razvoja  potrebne nenehne investicije in vlaganja.</w:t>
      </w:r>
    </w:p>
    <w:p w:rsidR="00B033A4" w:rsidRPr="008E7553" w:rsidRDefault="00B033A4" w:rsidP="0084747B">
      <w:pPr>
        <w:ind w:right="-567"/>
        <w:jc w:val="both"/>
        <w:rPr>
          <w:b/>
          <w:sz w:val="24"/>
          <w:szCs w:val="24"/>
        </w:rPr>
      </w:pPr>
      <w:r w:rsidRPr="00E57192">
        <w:rPr>
          <w:sz w:val="24"/>
          <w:szCs w:val="24"/>
        </w:rPr>
        <w:t xml:space="preserve">V nadaljevanju </w:t>
      </w:r>
      <w:r>
        <w:rPr>
          <w:sz w:val="24"/>
          <w:szCs w:val="24"/>
        </w:rPr>
        <w:t>je prikazano</w:t>
      </w:r>
      <w:r w:rsidRPr="00E57192">
        <w:rPr>
          <w:b/>
          <w:sz w:val="24"/>
          <w:szCs w:val="24"/>
        </w:rPr>
        <w:t xml:space="preserve"> </w:t>
      </w:r>
      <w:r w:rsidR="00826322" w:rsidRPr="008E7553">
        <w:rPr>
          <w:sz w:val="24"/>
          <w:szCs w:val="24"/>
        </w:rPr>
        <w:t xml:space="preserve">tudi </w:t>
      </w:r>
      <w:r w:rsidR="008A3E3D">
        <w:rPr>
          <w:sz w:val="24"/>
          <w:szCs w:val="24"/>
        </w:rPr>
        <w:t>v</w:t>
      </w:r>
      <w:r w:rsidRPr="008E7553">
        <w:rPr>
          <w:sz w:val="24"/>
          <w:szCs w:val="24"/>
        </w:rPr>
        <w:t>rednotenje gradbenih projektov pri Asfinagu (</w:t>
      </w:r>
      <w:r w:rsidR="008E7553">
        <w:rPr>
          <w:sz w:val="24"/>
          <w:szCs w:val="24"/>
        </w:rPr>
        <w:t xml:space="preserve">povzeto po </w:t>
      </w:r>
      <w:r w:rsidRPr="008E7553">
        <w:rPr>
          <w:sz w:val="24"/>
          <w:szCs w:val="24"/>
        </w:rPr>
        <w:t>Asfinag, 2015).</w:t>
      </w:r>
      <w:r w:rsidR="008E7553">
        <w:rPr>
          <w:b/>
          <w:sz w:val="24"/>
          <w:szCs w:val="24"/>
        </w:rPr>
        <w:t xml:space="preserve"> </w:t>
      </w:r>
      <w:r w:rsidRPr="00E57192">
        <w:rPr>
          <w:sz w:val="24"/>
          <w:szCs w:val="24"/>
        </w:rPr>
        <w:t>Planiranje investicij (novogradenj in obnov) družbe Asfinag poteka na osnovi v naprej določenih kriterijev. Osnovni kriteriji za izbiro investicijskih proj</w:t>
      </w:r>
      <w:r>
        <w:rPr>
          <w:sz w:val="24"/>
          <w:szCs w:val="24"/>
        </w:rPr>
        <w:t>ektov so:</w:t>
      </w:r>
      <w:r w:rsidRPr="00E57192">
        <w:rPr>
          <w:sz w:val="24"/>
          <w:szCs w:val="24"/>
        </w:rPr>
        <w:t xml:space="preserve"> funkcionalni pomen, gospodarnost in prometna var</w:t>
      </w:r>
      <w:r>
        <w:rPr>
          <w:sz w:val="24"/>
          <w:szCs w:val="24"/>
        </w:rPr>
        <w:t>nost. Izhodišče je</w:t>
      </w:r>
      <w:r w:rsidRPr="00E57192">
        <w:rPr>
          <w:sz w:val="24"/>
          <w:szCs w:val="24"/>
        </w:rPr>
        <w:t xml:space="preserve"> </w:t>
      </w:r>
      <w:r w:rsidR="008E7553">
        <w:rPr>
          <w:sz w:val="24"/>
          <w:szCs w:val="24"/>
        </w:rPr>
        <w:t xml:space="preserve">ocena </w:t>
      </w:r>
      <w:r w:rsidR="00FF0589">
        <w:rPr>
          <w:sz w:val="24"/>
          <w:szCs w:val="24"/>
        </w:rPr>
        <w:t>stroškov in koristi (cost/benefit)</w:t>
      </w:r>
      <w:r>
        <w:rPr>
          <w:sz w:val="24"/>
          <w:szCs w:val="24"/>
        </w:rPr>
        <w:t>, pri čemer pa se zavestno ne odločajo</w:t>
      </w:r>
      <w:r w:rsidRPr="00E57192">
        <w:rPr>
          <w:sz w:val="24"/>
          <w:szCs w:val="24"/>
        </w:rPr>
        <w:t xml:space="preserve"> na</w:t>
      </w:r>
      <w:r>
        <w:rPr>
          <w:sz w:val="24"/>
          <w:szCs w:val="24"/>
        </w:rPr>
        <w:t xml:space="preserve"> osnovi »toge« formule, ampak upoštevajo</w:t>
      </w:r>
      <w:r w:rsidRPr="00E57192">
        <w:rPr>
          <w:sz w:val="24"/>
          <w:szCs w:val="24"/>
        </w:rPr>
        <w:t xml:space="preserve"> še številne druge vplive.</w:t>
      </w:r>
    </w:p>
    <w:p w:rsidR="00B033A4" w:rsidRPr="00E57192" w:rsidRDefault="00B033A4" w:rsidP="0084747B">
      <w:pPr>
        <w:ind w:right="-567"/>
        <w:jc w:val="both"/>
        <w:rPr>
          <w:sz w:val="24"/>
          <w:szCs w:val="24"/>
        </w:rPr>
      </w:pPr>
      <w:r w:rsidRPr="00E57192">
        <w:rPr>
          <w:sz w:val="24"/>
          <w:szCs w:val="24"/>
        </w:rPr>
        <w:lastRenderedPageBreak/>
        <w:t xml:space="preserve">Gradbeni program Asfinag je bil </w:t>
      </w:r>
      <w:r w:rsidR="008E7553">
        <w:rPr>
          <w:sz w:val="24"/>
          <w:szCs w:val="24"/>
        </w:rPr>
        <w:t>tako določen na osnovi 6 korakov</w:t>
      </w:r>
      <w:r w:rsidRPr="00E57192">
        <w:rPr>
          <w:sz w:val="24"/>
          <w:szCs w:val="24"/>
        </w:rPr>
        <w:t xml:space="preserve"> (določitev kriterijev, utež posameznega kriterija, ocena ekspertov v razpo</w:t>
      </w:r>
      <w:r>
        <w:rPr>
          <w:sz w:val="24"/>
          <w:szCs w:val="24"/>
        </w:rPr>
        <w:t>nu med 1-5, vzpostavitev nivojev koristi</w:t>
      </w:r>
      <w:r w:rsidRPr="00E57192">
        <w:rPr>
          <w:sz w:val="24"/>
          <w:szCs w:val="24"/>
        </w:rPr>
        <w:t>, analiza občutljivosti</w:t>
      </w:r>
      <w:r>
        <w:rPr>
          <w:sz w:val="24"/>
          <w:szCs w:val="24"/>
        </w:rPr>
        <w:t xml:space="preserve"> in upoštevanje koristi kot podlaga za naslednje korake in prioritete</w:t>
      </w:r>
      <w:r w:rsidRPr="00E57192">
        <w:rPr>
          <w:sz w:val="24"/>
          <w:szCs w:val="24"/>
        </w:rPr>
        <w:t>), pri čemer so bili kriteriji določeni</w:t>
      </w:r>
      <w:r w:rsidR="00FF0589">
        <w:rPr>
          <w:sz w:val="24"/>
          <w:szCs w:val="24"/>
        </w:rPr>
        <w:t>,</w:t>
      </w:r>
      <w:r w:rsidRPr="00E57192">
        <w:rPr>
          <w:sz w:val="24"/>
          <w:szCs w:val="24"/>
        </w:rPr>
        <w:t xml:space="preserve"> kot je razvidno iz </w:t>
      </w:r>
      <w:r w:rsidR="00FF0589">
        <w:rPr>
          <w:sz w:val="24"/>
          <w:szCs w:val="24"/>
        </w:rPr>
        <w:t>tabele2.</w:t>
      </w:r>
    </w:p>
    <w:p w:rsidR="00B033A4" w:rsidRPr="00E57192" w:rsidRDefault="00B033A4" w:rsidP="0088713A">
      <w:pPr>
        <w:ind w:right="-567"/>
        <w:rPr>
          <w:sz w:val="24"/>
          <w:szCs w:val="24"/>
        </w:rPr>
      </w:pPr>
    </w:p>
    <w:tbl>
      <w:tblPr>
        <w:tblStyle w:val="Tabelamrea"/>
        <w:tblW w:w="9634" w:type="dxa"/>
        <w:tblLook w:val="04A0" w:firstRow="1" w:lastRow="0" w:firstColumn="1" w:lastColumn="0" w:noHBand="0" w:noVBand="1"/>
      </w:tblPr>
      <w:tblGrid>
        <w:gridCol w:w="1980"/>
        <w:gridCol w:w="2550"/>
        <w:gridCol w:w="4396"/>
        <w:gridCol w:w="708"/>
      </w:tblGrid>
      <w:tr w:rsidR="00B033A4" w:rsidRPr="0084747B" w:rsidTr="0084747B">
        <w:tc>
          <w:tcPr>
            <w:tcW w:w="1980" w:type="dxa"/>
            <w:tcBorders>
              <w:bottom w:val="double" w:sz="4" w:space="0" w:color="auto"/>
            </w:tcBorders>
            <w:shd w:val="clear" w:color="auto" w:fill="CCFFFF"/>
          </w:tcPr>
          <w:p w:rsidR="00B033A4" w:rsidRPr="0084747B" w:rsidRDefault="00B033A4" w:rsidP="0084747B">
            <w:pPr>
              <w:ind w:right="-567"/>
              <w:rPr>
                <w:b/>
                <w:color w:val="000000" w:themeColor="text1"/>
              </w:rPr>
            </w:pPr>
            <w:r w:rsidRPr="0084747B">
              <w:rPr>
                <w:b/>
                <w:color w:val="000000" w:themeColor="text1"/>
              </w:rPr>
              <w:t>Vsebina</w:t>
            </w:r>
          </w:p>
        </w:tc>
        <w:tc>
          <w:tcPr>
            <w:tcW w:w="2550" w:type="dxa"/>
            <w:tcBorders>
              <w:bottom w:val="double" w:sz="4" w:space="0" w:color="auto"/>
            </w:tcBorders>
            <w:shd w:val="clear" w:color="auto" w:fill="CCFFFF"/>
          </w:tcPr>
          <w:p w:rsidR="00B033A4" w:rsidRPr="0084747B" w:rsidRDefault="00B033A4" w:rsidP="0084747B">
            <w:pPr>
              <w:ind w:right="-567"/>
              <w:rPr>
                <w:b/>
                <w:color w:val="000000" w:themeColor="text1"/>
              </w:rPr>
            </w:pPr>
            <w:r w:rsidRPr="0084747B">
              <w:rPr>
                <w:b/>
                <w:color w:val="000000" w:themeColor="text1"/>
              </w:rPr>
              <w:t>Kriterij</w:t>
            </w:r>
          </w:p>
        </w:tc>
        <w:tc>
          <w:tcPr>
            <w:tcW w:w="4396" w:type="dxa"/>
            <w:tcBorders>
              <w:bottom w:val="double" w:sz="4" w:space="0" w:color="auto"/>
            </w:tcBorders>
            <w:shd w:val="clear" w:color="auto" w:fill="CCFFFF"/>
          </w:tcPr>
          <w:p w:rsidR="00B033A4" w:rsidRPr="0084747B" w:rsidRDefault="00B033A4" w:rsidP="0084747B">
            <w:pPr>
              <w:ind w:right="-567"/>
              <w:rPr>
                <w:b/>
                <w:color w:val="000000" w:themeColor="text1"/>
              </w:rPr>
            </w:pPr>
            <w:r w:rsidRPr="0084747B">
              <w:rPr>
                <w:b/>
                <w:color w:val="000000" w:themeColor="text1"/>
              </w:rPr>
              <w:t>Ozadje ocene</w:t>
            </w:r>
          </w:p>
        </w:tc>
        <w:tc>
          <w:tcPr>
            <w:tcW w:w="708" w:type="dxa"/>
            <w:tcBorders>
              <w:bottom w:val="double" w:sz="4" w:space="0" w:color="auto"/>
            </w:tcBorders>
            <w:shd w:val="clear" w:color="auto" w:fill="CCFFFF"/>
          </w:tcPr>
          <w:p w:rsidR="00B033A4" w:rsidRPr="0084747B" w:rsidRDefault="00B033A4" w:rsidP="0084747B">
            <w:pPr>
              <w:ind w:right="-567"/>
              <w:rPr>
                <w:b/>
                <w:color w:val="000000" w:themeColor="text1"/>
              </w:rPr>
            </w:pPr>
            <w:r w:rsidRPr="0084747B">
              <w:rPr>
                <w:b/>
                <w:color w:val="000000" w:themeColor="text1"/>
              </w:rPr>
              <w:t>Utež</w:t>
            </w:r>
          </w:p>
        </w:tc>
      </w:tr>
      <w:tr w:rsidR="00B033A4" w:rsidRPr="0084747B" w:rsidTr="0084747B">
        <w:tc>
          <w:tcPr>
            <w:tcW w:w="1980" w:type="dxa"/>
            <w:tcBorders>
              <w:top w:val="double" w:sz="4" w:space="0" w:color="auto"/>
            </w:tcBorders>
          </w:tcPr>
          <w:p w:rsidR="00B033A4" w:rsidRPr="0084747B" w:rsidRDefault="00B033A4" w:rsidP="0088713A">
            <w:pPr>
              <w:ind w:right="-567"/>
            </w:pPr>
            <w:r w:rsidRPr="0084747B">
              <w:t>Gospodarnost</w:t>
            </w:r>
          </w:p>
        </w:tc>
        <w:tc>
          <w:tcPr>
            <w:tcW w:w="2550" w:type="dxa"/>
            <w:tcBorders>
              <w:top w:val="double" w:sz="4" w:space="0" w:color="auto"/>
            </w:tcBorders>
          </w:tcPr>
          <w:p w:rsidR="00B033A4" w:rsidRPr="0084747B" w:rsidRDefault="00B033A4" w:rsidP="0088713A">
            <w:pPr>
              <w:ind w:right="-567"/>
            </w:pPr>
            <w:r w:rsidRPr="0084747B">
              <w:t>Razmerje stroški-koristi</w:t>
            </w:r>
          </w:p>
        </w:tc>
        <w:tc>
          <w:tcPr>
            <w:tcW w:w="4396" w:type="dxa"/>
            <w:tcBorders>
              <w:top w:val="double" w:sz="4" w:space="0" w:color="auto"/>
            </w:tcBorders>
          </w:tcPr>
          <w:p w:rsidR="00B033A4" w:rsidRPr="0084747B" w:rsidRDefault="00B033A4" w:rsidP="0088713A">
            <w:pPr>
              <w:ind w:right="-567"/>
            </w:pPr>
            <w:r w:rsidRPr="0084747B">
              <w:t>Gradbeni stroški glede na koristi</w:t>
            </w:r>
          </w:p>
        </w:tc>
        <w:tc>
          <w:tcPr>
            <w:tcW w:w="708" w:type="dxa"/>
            <w:tcBorders>
              <w:top w:val="double" w:sz="4" w:space="0" w:color="auto"/>
            </w:tcBorders>
          </w:tcPr>
          <w:p w:rsidR="00B033A4" w:rsidRPr="0084747B" w:rsidRDefault="00B033A4" w:rsidP="0088713A">
            <w:pPr>
              <w:ind w:right="-567"/>
            </w:pPr>
            <w:r w:rsidRPr="0084747B">
              <w:t>45 %</w:t>
            </w:r>
          </w:p>
        </w:tc>
      </w:tr>
      <w:tr w:rsidR="00B033A4" w:rsidRPr="0084747B" w:rsidTr="0084747B">
        <w:tc>
          <w:tcPr>
            <w:tcW w:w="1980" w:type="dxa"/>
          </w:tcPr>
          <w:p w:rsidR="00B033A4" w:rsidRPr="0084747B" w:rsidRDefault="00B033A4" w:rsidP="0088713A">
            <w:pPr>
              <w:ind w:right="-567"/>
            </w:pPr>
            <w:r w:rsidRPr="0084747B">
              <w:t>Javnost / okolje</w:t>
            </w:r>
          </w:p>
        </w:tc>
        <w:tc>
          <w:tcPr>
            <w:tcW w:w="2550" w:type="dxa"/>
          </w:tcPr>
          <w:p w:rsidR="00B033A4" w:rsidRPr="0084747B" w:rsidRDefault="00B033A4" w:rsidP="0088713A">
            <w:pPr>
              <w:ind w:right="-567"/>
            </w:pPr>
            <w:r w:rsidRPr="0084747B">
              <w:t>Regionalni pomen</w:t>
            </w:r>
          </w:p>
        </w:tc>
        <w:tc>
          <w:tcPr>
            <w:tcW w:w="4396" w:type="dxa"/>
          </w:tcPr>
          <w:p w:rsidR="00B033A4" w:rsidRPr="0084747B" w:rsidRDefault="00B033A4" w:rsidP="0088713A">
            <w:pPr>
              <w:ind w:right="-567"/>
            </w:pPr>
            <w:r w:rsidRPr="0084747B">
              <w:t>Regionalni pomen povezave</w:t>
            </w:r>
          </w:p>
        </w:tc>
        <w:tc>
          <w:tcPr>
            <w:tcW w:w="708" w:type="dxa"/>
          </w:tcPr>
          <w:p w:rsidR="00B033A4" w:rsidRPr="0084747B" w:rsidRDefault="00B033A4" w:rsidP="0088713A">
            <w:pPr>
              <w:ind w:right="-567"/>
            </w:pPr>
            <w:r w:rsidRPr="0084747B">
              <w:t>2%</w:t>
            </w:r>
          </w:p>
        </w:tc>
      </w:tr>
      <w:tr w:rsidR="00B033A4" w:rsidRPr="0084747B" w:rsidTr="0084747B">
        <w:tc>
          <w:tcPr>
            <w:tcW w:w="1980" w:type="dxa"/>
          </w:tcPr>
          <w:p w:rsidR="00B033A4" w:rsidRPr="0084747B" w:rsidRDefault="00B033A4" w:rsidP="0088713A">
            <w:pPr>
              <w:ind w:right="-567"/>
            </w:pPr>
          </w:p>
        </w:tc>
        <w:tc>
          <w:tcPr>
            <w:tcW w:w="2550" w:type="dxa"/>
          </w:tcPr>
          <w:p w:rsidR="00B033A4" w:rsidRPr="0084747B" w:rsidRDefault="00B033A4" w:rsidP="0088713A">
            <w:pPr>
              <w:ind w:right="-567"/>
            </w:pPr>
            <w:r w:rsidRPr="0084747B">
              <w:t>Lokalna sprejemljivost</w:t>
            </w:r>
          </w:p>
        </w:tc>
        <w:tc>
          <w:tcPr>
            <w:tcW w:w="4396" w:type="dxa"/>
          </w:tcPr>
          <w:p w:rsidR="00B033A4" w:rsidRPr="0084747B" w:rsidRDefault="00B033A4" w:rsidP="0088713A">
            <w:pPr>
              <w:ind w:right="-567"/>
            </w:pPr>
            <w:r w:rsidRPr="0084747B">
              <w:t>Nasprotovanje lokalne skupnosti</w:t>
            </w:r>
          </w:p>
        </w:tc>
        <w:tc>
          <w:tcPr>
            <w:tcW w:w="708" w:type="dxa"/>
          </w:tcPr>
          <w:p w:rsidR="00B033A4" w:rsidRPr="0084747B" w:rsidRDefault="00B033A4" w:rsidP="0088713A">
            <w:pPr>
              <w:ind w:right="-567"/>
            </w:pPr>
            <w:r w:rsidRPr="0084747B">
              <w:t>2%</w:t>
            </w:r>
          </w:p>
        </w:tc>
      </w:tr>
      <w:tr w:rsidR="00B033A4" w:rsidRPr="0084747B" w:rsidTr="0084747B">
        <w:tc>
          <w:tcPr>
            <w:tcW w:w="1980" w:type="dxa"/>
          </w:tcPr>
          <w:p w:rsidR="00B033A4" w:rsidRPr="0084747B" w:rsidRDefault="00B033A4" w:rsidP="0088713A">
            <w:pPr>
              <w:ind w:right="-567"/>
            </w:pPr>
          </w:p>
        </w:tc>
        <w:tc>
          <w:tcPr>
            <w:tcW w:w="2550" w:type="dxa"/>
          </w:tcPr>
          <w:p w:rsidR="00B033A4" w:rsidRPr="0084747B" w:rsidRDefault="00B033A4" w:rsidP="0088713A">
            <w:pPr>
              <w:ind w:right="-567"/>
            </w:pPr>
            <w:r w:rsidRPr="0084747B">
              <w:t>Krepitev regij</w:t>
            </w:r>
          </w:p>
        </w:tc>
        <w:tc>
          <w:tcPr>
            <w:tcW w:w="4396" w:type="dxa"/>
          </w:tcPr>
          <w:p w:rsidR="00B033A4" w:rsidRPr="0084747B" w:rsidRDefault="00B033A4" w:rsidP="0088713A">
            <w:pPr>
              <w:ind w:right="-567"/>
            </w:pPr>
            <w:r w:rsidRPr="0084747B">
              <w:t>Prispevek projekta k boljši povezljivosti regije</w:t>
            </w:r>
          </w:p>
        </w:tc>
        <w:tc>
          <w:tcPr>
            <w:tcW w:w="708" w:type="dxa"/>
          </w:tcPr>
          <w:p w:rsidR="00B033A4" w:rsidRPr="0084747B" w:rsidRDefault="00B033A4" w:rsidP="0088713A">
            <w:pPr>
              <w:ind w:right="-567"/>
            </w:pPr>
            <w:r w:rsidRPr="0084747B">
              <w:t>2%</w:t>
            </w:r>
          </w:p>
        </w:tc>
      </w:tr>
      <w:tr w:rsidR="00B033A4" w:rsidRPr="0084747B" w:rsidTr="0084747B">
        <w:tc>
          <w:tcPr>
            <w:tcW w:w="1980" w:type="dxa"/>
          </w:tcPr>
          <w:p w:rsidR="00B033A4" w:rsidRPr="0084747B" w:rsidRDefault="00B033A4" w:rsidP="0088713A">
            <w:pPr>
              <w:ind w:right="-567"/>
            </w:pPr>
            <w:r w:rsidRPr="0084747B">
              <w:t>Lastnost projekta</w:t>
            </w:r>
          </w:p>
        </w:tc>
        <w:tc>
          <w:tcPr>
            <w:tcW w:w="2550" w:type="dxa"/>
          </w:tcPr>
          <w:p w:rsidR="00B033A4" w:rsidRPr="0084747B" w:rsidRDefault="00B033A4" w:rsidP="0088713A">
            <w:pPr>
              <w:ind w:right="-567"/>
            </w:pPr>
            <w:r w:rsidRPr="0084747B">
              <w:t>Visoko rangiranje v smislu strateškega prometnega planiranja</w:t>
            </w:r>
          </w:p>
        </w:tc>
        <w:tc>
          <w:tcPr>
            <w:tcW w:w="4396" w:type="dxa"/>
          </w:tcPr>
          <w:p w:rsidR="00B033A4" w:rsidRPr="0084747B" w:rsidRDefault="00B033A4" w:rsidP="0088713A">
            <w:pPr>
              <w:ind w:right="-567"/>
            </w:pPr>
            <w:r w:rsidRPr="0084747B">
              <w:t>Povezave s centri, navezava na omrežje in pričakovana prometna rast</w:t>
            </w:r>
          </w:p>
        </w:tc>
        <w:tc>
          <w:tcPr>
            <w:tcW w:w="708" w:type="dxa"/>
          </w:tcPr>
          <w:p w:rsidR="00B033A4" w:rsidRPr="0084747B" w:rsidRDefault="00B033A4" w:rsidP="0088713A">
            <w:pPr>
              <w:ind w:right="-567"/>
            </w:pPr>
            <w:r w:rsidRPr="0084747B">
              <w:t>45%</w:t>
            </w:r>
          </w:p>
        </w:tc>
      </w:tr>
      <w:tr w:rsidR="00B033A4" w:rsidRPr="0084747B" w:rsidTr="0084747B">
        <w:tc>
          <w:tcPr>
            <w:tcW w:w="1980" w:type="dxa"/>
          </w:tcPr>
          <w:p w:rsidR="00B033A4" w:rsidRPr="0084747B" w:rsidRDefault="00B033A4" w:rsidP="0088713A">
            <w:pPr>
              <w:ind w:right="-567"/>
            </w:pPr>
          </w:p>
        </w:tc>
        <w:tc>
          <w:tcPr>
            <w:tcW w:w="2550" w:type="dxa"/>
          </w:tcPr>
          <w:p w:rsidR="00B033A4" w:rsidRPr="0084747B" w:rsidRDefault="00B033A4" w:rsidP="0088713A">
            <w:pPr>
              <w:ind w:right="-567"/>
            </w:pPr>
            <w:r w:rsidRPr="0084747B">
              <w:t>Razbremenitev cest v naseljih (prometna varnost)</w:t>
            </w:r>
          </w:p>
        </w:tc>
        <w:tc>
          <w:tcPr>
            <w:tcW w:w="4396" w:type="dxa"/>
          </w:tcPr>
          <w:p w:rsidR="00B033A4" w:rsidRPr="0084747B" w:rsidRDefault="00B033A4" w:rsidP="0088713A">
            <w:pPr>
              <w:ind w:right="-567"/>
            </w:pPr>
            <w:r w:rsidRPr="0084747B">
              <w:t>Prispevek k znižanju obremenjenih vpadnic in s tem dvig prometne varnosti</w:t>
            </w:r>
          </w:p>
        </w:tc>
        <w:tc>
          <w:tcPr>
            <w:tcW w:w="708" w:type="dxa"/>
          </w:tcPr>
          <w:p w:rsidR="00B033A4" w:rsidRPr="0084747B" w:rsidRDefault="00B033A4" w:rsidP="0088713A">
            <w:pPr>
              <w:ind w:right="-567"/>
            </w:pPr>
            <w:r w:rsidRPr="0084747B">
              <w:t>2%</w:t>
            </w:r>
          </w:p>
        </w:tc>
      </w:tr>
      <w:tr w:rsidR="00B033A4" w:rsidRPr="0084747B" w:rsidTr="0084747B">
        <w:tc>
          <w:tcPr>
            <w:tcW w:w="1980" w:type="dxa"/>
          </w:tcPr>
          <w:p w:rsidR="00B033A4" w:rsidRPr="0084747B" w:rsidRDefault="00B033A4" w:rsidP="0088713A">
            <w:pPr>
              <w:ind w:right="-567"/>
            </w:pPr>
          </w:p>
        </w:tc>
        <w:tc>
          <w:tcPr>
            <w:tcW w:w="2550" w:type="dxa"/>
          </w:tcPr>
          <w:p w:rsidR="00B033A4" w:rsidRPr="0084747B" w:rsidRDefault="00B033A4" w:rsidP="0088713A">
            <w:pPr>
              <w:ind w:right="-567"/>
            </w:pPr>
            <w:r w:rsidRPr="0084747B">
              <w:t>Zaključeno vrednotenje</w:t>
            </w:r>
          </w:p>
        </w:tc>
        <w:tc>
          <w:tcPr>
            <w:tcW w:w="4396" w:type="dxa"/>
          </w:tcPr>
          <w:p w:rsidR="00B033A4" w:rsidRPr="0084747B" w:rsidRDefault="00B033A4" w:rsidP="0088713A">
            <w:pPr>
              <w:ind w:right="-567"/>
            </w:pPr>
            <w:r w:rsidRPr="0084747B">
              <w:t>Občutljivost  ukrepa v pogledu na spremenjene prostorske pogoje</w:t>
            </w:r>
          </w:p>
        </w:tc>
        <w:tc>
          <w:tcPr>
            <w:tcW w:w="708" w:type="dxa"/>
          </w:tcPr>
          <w:p w:rsidR="00B033A4" w:rsidRPr="0084747B" w:rsidRDefault="00B033A4" w:rsidP="0088713A">
            <w:pPr>
              <w:ind w:right="-567"/>
            </w:pPr>
            <w:r w:rsidRPr="0084747B">
              <w:t>2%</w:t>
            </w:r>
          </w:p>
        </w:tc>
      </w:tr>
    </w:tbl>
    <w:p w:rsidR="00FF0589" w:rsidRPr="007227F7" w:rsidRDefault="00FF0589" w:rsidP="0088713A">
      <w:pPr>
        <w:spacing w:after="60"/>
        <w:ind w:right="-567"/>
        <w:jc w:val="both"/>
        <w:rPr>
          <w:rFonts w:asciiTheme="minorHAnsi" w:hAnsiTheme="minorHAnsi"/>
          <w:b/>
          <w:i/>
          <w:sz w:val="20"/>
          <w:szCs w:val="20"/>
        </w:rPr>
      </w:pPr>
      <w:r w:rsidRPr="007227F7">
        <w:rPr>
          <w:rFonts w:asciiTheme="minorHAnsi" w:hAnsiTheme="minorHAnsi"/>
          <w:b/>
          <w:i/>
          <w:sz w:val="20"/>
          <w:szCs w:val="20"/>
        </w:rPr>
        <w:t>Tabela 2: Kriteriji za izbiro investicij Asfinag</w:t>
      </w:r>
    </w:p>
    <w:p w:rsidR="00B033A4" w:rsidRPr="00E57192" w:rsidRDefault="00B033A4" w:rsidP="0088713A">
      <w:pPr>
        <w:ind w:right="-567"/>
        <w:rPr>
          <w:sz w:val="24"/>
          <w:szCs w:val="24"/>
        </w:rPr>
      </w:pPr>
    </w:p>
    <w:p w:rsidR="00B033A4" w:rsidRDefault="00B033A4" w:rsidP="0088713A">
      <w:pPr>
        <w:ind w:right="-567"/>
        <w:rPr>
          <w:sz w:val="24"/>
          <w:szCs w:val="24"/>
        </w:rPr>
      </w:pPr>
      <w:r w:rsidRPr="00E57192">
        <w:rPr>
          <w:sz w:val="24"/>
          <w:szCs w:val="24"/>
        </w:rPr>
        <w:t xml:space="preserve">Na tej osnovi so oblikovali 6 letni </w:t>
      </w:r>
      <w:r w:rsidR="00FF0589">
        <w:rPr>
          <w:sz w:val="24"/>
          <w:szCs w:val="24"/>
        </w:rPr>
        <w:t xml:space="preserve">drsni </w:t>
      </w:r>
      <w:r w:rsidRPr="00E57192">
        <w:rPr>
          <w:sz w:val="24"/>
          <w:szCs w:val="24"/>
        </w:rPr>
        <w:t>plan (20</w:t>
      </w:r>
      <w:r w:rsidR="008E7553">
        <w:rPr>
          <w:sz w:val="24"/>
          <w:szCs w:val="24"/>
        </w:rPr>
        <w:t>15 – 2020), ki je predvidljiv,</w:t>
      </w:r>
      <w:r w:rsidRPr="00E57192">
        <w:rPr>
          <w:sz w:val="24"/>
          <w:szCs w:val="24"/>
        </w:rPr>
        <w:t xml:space="preserve"> jasen</w:t>
      </w:r>
      <w:r w:rsidR="008E7553">
        <w:rPr>
          <w:sz w:val="24"/>
          <w:szCs w:val="24"/>
        </w:rPr>
        <w:t xml:space="preserve"> in enakomeren</w:t>
      </w:r>
      <w:r w:rsidRPr="00E57192">
        <w:rPr>
          <w:sz w:val="24"/>
          <w:szCs w:val="24"/>
        </w:rPr>
        <w:t xml:space="preserve"> ter omogoča inženiringom in gradbeni operativi, da se ustrezno prilagodijo in razvijajo</w:t>
      </w:r>
      <w:r w:rsidR="00FF0589">
        <w:rPr>
          <w:sz w:val="24"/>
          <w:szCs w:val="24"/>
        </w:rPr>
        <w:t xml:space="preserve"> (Diagram 3)</w:t>
      </w:r>
      <w:r w:rsidRPr="00E57192">
        <w:rPr>
          <w:sz w:val="24"/>
          <w:szCs w:val="24"/>
        </w:rPr>
        <w:t>.</w:t>
      </w:r>
    </w:p>
    <w:p w:rsidR="00B033A4" w:rsidRPr="00E57192" w:rsidRDefault="00B033A4" w:rsidP="0088713A">
      <w:pPr>
        <w:ind w:right="-567"/>
        <w:rPr>
          <w:sz w:val="24"/>
          <w:szCs w:val="24"/>
        </w:rPr>
      </w:pPr>
    </w:p>
    <w:p w:rsidR="00B033A4" w:rsidRPr="00E57192" w:rsidRDefault="00B033A4" w:rsidP="0088713A">
      <w:pPr>
        <w:ind w:right="-567"/>
        <w:rPr>
          <w:sz w:val="24"/>
          <w:szCs w:val="24"/>
        </w:rPr>
      </w:pPr>
      <w:r w:rsidRPr="00E57192">
        <w:rPr>
          <w:noProof/>
          <w:sz w:val="24"/>
          <w:szCs w:val="24"/>
          <w:lang w:eastAsia="sl-SI"/>
        </w:rPr>
        <w:drawing>
          <wp:inline distT="0" distB="0" distL="0" distR="0" wp14:anchorId="64D4E8FD" wp14:editId="56FB26DF">
            <wp:extent cx="3543300" cy="2238375"/>
            <wp:effectExtent l="0" t="0" r="0" b="9525"/>
            <wp:docPr id="10"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5829" w:rsidRPr="007227F7" w:rsidRDefault="00FF0589" w:rsidP="0088713A">
      <w:pPr>
        <w:spacing w:after="60"/>
        <w:ind w:right="-567"/>
        <w:jc w:val="both"/>
        <w:rPr>
          <w:rFonts w:asciiTheme="minorHAnsi" w:hAnsiTheme="minorHAnsi"/>
          <w:b/>
          <w:i/>
          <w:sz w:val="20"/>
          <w:szCs w:val="20"/>
        </w:rPr>
      </w:pPr>
      <w:r w:rsidRPr="007227F7">
        <w:rPr>
          <w:rFonts w:asciiTheme="minorHAnsi" w:hAnsiTheme="minorHAnsi"/>
          <w:b/>
          <w:i/>
          <w:sz w:val="20"/>
          <w:szCs w:val="20"/>
        </w:rPr>
        <w:t>Diagram št. 3</w:t>
      </w:r>
      <w:r w:rsidR="00CC5829" w:rsidRPr="007227F7">
        <w:rPr>
          <w:rFonts w:asciiTheme="minorHAnsi" w:hAnsiTheme="minorHAnsi"/>
          <w:b/>
          <w:i/>
          <w:sz w:val="20"/>
          <w:szCs w:val="20"/>
        </w:rPr>
        <w:t>: Drsni 6 letni plan investicij družbe Asfinag</w:t>
      </w:r>
    </w:p>
    <w:p w:rsidR="00C35FC4" w:rsidRDefault="00C35FC4" w:rsidP="0088713A">
      <w:pPr>
        <w:spacing w:after="60"/>
        <w:ind w:right="-567"/>
        <w:jc w:val="both"/>
        <w:rPr>
          <w:rFonts w:asciiTheme="minorHAnsi" w:hAnsiTheme="minorHAnsi"/>
          <w:sz w:val="24"/>
          <w:szCs w:val="24"/>
        </w:rPr>
      </w:pPr>
    </w:p>
    <w:p w:rsidR="00C35FC4" w:rsidRDefault="00226575" w:rsidP="0088713A">
      <w:pPr>
        <w:spacing w:after="60"/>
        <w:ind w:right="-567"/>
        <w:jc w:val="both"/>
        <w:rPr>
          <w:rFonts w:asciiTheme="minorHAnsi" w:hAnsiTheme="minorHAnsi"/>
          <w:sz w:val="24"/>
          <w:szCs w:val="24"/>
        </w:rPr>
      </w:pPr>
      <w:r>
        <w:rPr>
          <w:rFonts w:asciiTheme="minorHAnsi" w:hAnsiTheme="minorHAnsi"/>
          <w:sz w:val="24"/>
          <w:szCs w:val="24"/>
        </w:rPr>
        <w:lastRenderedPageBreak/>
        <w:t>S</w:t>
      </w:r>
      <w:r w:rsidR="00C35FC4" w:rsidRPr="007C075A">
        <w:rPr>
          <w:rFonts w:asciiTheme="minorHAnsi" w:hAnsiTheme="minorHAnsi"/>
          <w:sz w:val="24"/>
          <w:szCs w:val="24"/>
        </w:rPr>
        <w:t xml:space="preserve">ituacija </w:t>
      </w:r>
      <w:r>
        <w:rPr>
          <w:rFonts w:asciiTheme="minorHAnsi" w:hAnsiTheme="minorHAnsi"/>
          <w:sz w:val="24"/>
          <w:szCs w:val="24"/>
        </w:rPr>
        <w:t xml:space="preserve">je </w:t>
      </w:r>
      <w:r w:rsidR="00C35FC4" w:rsidRPr="007C075A">
        <w:rPr>
          <w:rFonts w:asciiTheme="minorHAnsi" w:hAnsiTheme="minorHAnsi"/>
          <w:sz w:val="24"/>
          <w:szCs w:val="24"/>
        </w:rPr>
        <w:t xml:space="preserve">zelo podobna tudi na državnih cestah in železnicah, kjer </w:t>
      </w:r>
      <w:r w:rsidR="00FF0589">
        <w:rPr>
          <w:rFonts w:asciiTheme="minorHAnsi" w:hAnsiTheme="minorHAnsi"/>
          <w:sz w:val="24"/>
          <w:szCs w:val="24"/>
        </w:rPr>
        <w:t>pri slednjih Avstrija</w:t>
      </w:r>
      <w:r w:rsidR="00C35FC4" w:rsidRPr="007C075A">
        <w:rPr>
          <w:rFonts w:asciiTheme="minorHAnsi" w:hAnsiTheme="minorHAnsi"/>
          <w:sz w:val="24"/>
          <w:szCs w:val="24"/>
        </w:rPr>
        <w:t xml:space="preserve"> vlaga preko 2,5 mrd EUR na leto.</w:t>
      </w:r>
      <w:r w:rsidR="008E7553">
        <w:rPr>
          <w:rFonts w:asciiTheme="minorHAnsi" w:hAnsiTheme="minorHAnsi"/>
          <w:sz w:val="24"/>
          <w:szCs w:val="24"/>
        </w:rPr>
        <w:t xml:space="preserve"> Brez dvoma lahko za Avstrijo trdimo, da v celoti upošteva »Zlato pravilo« vlaganj v prometno infrastrukturo.</w:t>
      </w:r>
    </w:p>
    <w:p w:rsidR="00826322" w:rsidRPr="007227F7" w:rsidRDefault="00826322" w:rsidP="0088713A">
      <w:pPr>
        <w:spacing w:after="60"/>
        <w:ind w:right="-567"/>
        <w:jc w:val="both"/>
        <w:rPr>
          <w:rFonts w:asciiTheme="minorHAnsi" w:hAnsiTheme="minorHAnsi"/>
          <w:sz w:val="24"/>
          <w:szCs w:val="24"/>
        </w:rPr>
      </w:pPr>
    </w:p>
    <w:p w:rsidR="00423122" w:rsidRPr="007227F7" w:rsidRDefault="00423122" w:rsidP="00DC52DE">
      <w:pPr>
        <w:spacing w:after="60"/>
        <w:ind w:right="-567"/>
        <w:jc w:val="both"/>
        <w:rPr>
          <w:rFonts w:asciiTheme="minorHAnsi" w:hAnsiTheme="minorHAnsi"/>
          <w:sz w:val="24"/>
          <w:szCs w:val="24"/>
        </w:rPr>
      </w:pPr>
      <w:r w:rsidRPr="007227F7">
        <w:rPr>
          <w:rFonts w:asciiTheme="minorHAnsi" w:hAnsiTheme="minorHAnsi"/>
          <w:b/>
          <w:sz w:val="24"/>
          <w:szCs w:val="24"/>
        </w:rPr>
        <w:t>Analiza stanja na področju prometne infrastrukture v Sloveniji</w:t>
      </w:r>
    </w:p>
    <w:p w:rsidR="000A1C83" w:rsidRPr="007227F7" w:rsidRDefault="00811B50" w:rsidP="0088713A">
      <w:pPr>
        <w:ind w:right="-567"/>
        <w:jc w:val="both"/>
        <w:rPr>
          <w:sz w:val="24"/>
          <w:szCs w:val="24"/>
        </w:rPr>
      </w:pPr>
      <w:r w:rsidRPr="007227F7">
        <w:rPr>
          <w:sz w:val="24"/>
          <w:szCs w:val="24"/>
        </w:rPr>
        <w:t>Po hudi krizi in propadu številnih podjetij v gradbeništvu</w:t>
      </w:r>
      <w:r w:rsidR="00FF0589" w:rsidRPr="007227F7">
        <w:rPr>
          <w:sz w:val="24"/>
          <w:szCs w:val="24"/>
        </w:rPr>
        <w:t xml:space="preserve"> med 2010 in 2013</w:t>
      </w:r>
      <w:r w:rsidRPr="007227F7">
        <w:rPr>
          <w:sz w:val="24"/>
          <w:szCs w:val="24"/>
        </w:rPr>
        <w:t xml:space="preserve"> je bilo obdobje za</w:t>
      </w:r>
      <w:r w:rsidR="00D25E90">
        <w:rPr>
          <w:sz w:val="24"/>
          <w:szCs w:val="24"/>
        </w:rPr>
        <w:t>dnjih dveh let ob zaključevanju</w:t>
      </w:r>
      <w:r w:rsidRPr="007227F7">
        <w:rPr>
          <w:sz w:val="24"/>
          <w:szCs w:val="24"/>
        </w:rPr>
        <w:t xml:space="preserve"> finančne perspektive 2007 –</w:t>
      </w:r>
      <w:r w:rsidR="00F86BC9" w:rsidRPr="007227F7">
        <w:rPr>
          <w:sz w:val="24"/>
          <w:szCs w:val="24"/>
        </w:rPr>
        <w:t xml:space="preserve"> </w:t>
      </w:r>
      <w:r w:rsidRPr="007227F7">
        <w:rPr>
          <w:sz w:val="24"/>
          <w:szCs w:val="24"/>
        </w:rPr>
        <w:t>2015 nekoliko stabilnejše. Podjetja, ki so ostala na ruševinah propadlega gradbeništva</w:t>
      </w:r>
      <w:r w:rsidR="00FF0589" w:rsidRPr="007227F7">
        <w:rPr>
          <w:sz w:val="24"/>
          <w:szCs w:val="24"/>
        </w:rPr>
        <w:t>,</w:t>
      </w:r>
      <w:r w:rsidRPr="007227F7">
        <w:rPr>
          <w:sz w:val="24"/>
          <w:szCs w:val="24"/>
        </w:rPr>
        <w:t xml:space="preserve"> so </w:t>
      </w:r>
      <w:r w:rsidR="00FF0589" w:rsidRPr="007227F7">
        <w:rPr>
          <w:sz w:val="24"/>
          <w:szCs w:val="24"/>
        </w:rPr>
        <w:t>nekoliko</w:t>
      </w:r>
      <w:r w:rsidRPr="007227F7">
        <w:rPr>
          <w:sz w:val="24"/>
          <w:szCs w:val="24"/>
        </w:rPr>
        <w:t xml:space="preserve"> zajela sapo. </w:t>
      </w:r>
      <w:r w:rsidR="000A1C83" w:rsidRPr="007227F7">
        <w:rPr>
          <w:sz w:val="24"/>
          <w:szCs w:val="24"/>
        </w:rPr>
        <w:t xml:space="preserve">Vzpostavilo se je </w:t>
      </w:r>
      <w:r w:rsidR="008E7553" w:rsidRPr="007227F7">
        <w:rPr>
          <w:sz w:val="24"/>
          <w:szCs w:val="24"/>
        </w:rPr>
        <w:t>štiri do pet srednje velikih gradbenih</w:t>
      </w:r>
      <w:r w:rsidR="000A1C83" w:rsidRPr="007227F7">
        <w:rPr>
          <w:sz w:val="24"/>
          <w:szCs w:val="24"/>
        </w:rPr>
        <w:t xml:space="preserve"> podjetij, ki </w:t>
      </w:r>
      <w:r w:rsidR="00DC52DE" w:rsidRPr="007227F7">
        <w:rPr>
          <w:sz w:val="24"/>
          <w:szCs w:val="24"/>
        </w:rPr>
        <w:t>so v teh dveh letih ustvarila</w:t>
      </w:r>
      <w:r w:rsidR="000A1C83" w:rsidRPr="007227F7">
        <w:rPr>
          <w:sz w:val="24"/>
          <w:szCs w:val="24"/>
        </w:rPr>
        <w:t xml:space="preserve"> okoli 100 mio EUR prihodkov in ki bi lahko predstavljala temelj za prihodnji razvoj panoge</w:t>
      </w:r>
      <w:r w:rsidR="00DC52DE" w:rsidRPr="007227F7">
        <w:rPr>
          <w:sz w:val="24"/>
          <w:szCs w:val="24"/>
        </w:rPr>
        <w:t xml:space="preserve"> in spremljajočih dejavnosti</w:t>
      </w:r>
      <w:r w:rsidR="000A1C83" w:rsidRPr="007227F7">
        <w:rPr>
          <w:sz w:val="24"/>
          <w:szCs w:val="24"/>
        </w:rPr>
        <w:t>. Potrebno se je zavedati, da se ob uspe</w:t>
      </w:r>
      <w:r w:rsidR="007D56BD" w:rsidRPr="007227F7">
        <w:rPr>
          <w:sz w:val="24"/>
          <w:szCs w:val="24"/>
        </w:rPr>
        <w:t>šnih gradbenih podjetjih krepi š</w:t>
      </w:r>
      <w:r w:rsidR="000A1C83" w:rsidRPr="007227F7">
        <w:rPr>
          <w:sz w:val="24"/>
          <w:szCs w:val="24"/>
        </w:rPr>
        <w:t xml:space="preserve">e vrsta </w:t>
      </w:r>
      <w:r w:rsidR="008E7553" w:rsidRPr="007227F7">
        <w:rPr>
          <w:sz w:val="24"/>
          <w:szCs w:val="24"/>
        </w:rPr>
        <w:t xml:space="preserve">drugih </w:t>
      </w:r>
      <w:r w:rsidR="007D56BD" w:rsidRPr="007227F7">
        <w:rPr>
          <w:sz w:val="24"/>
          <w:szCs w:val="24"/>
        </w:rPr>
        <w:t>področij</w:t>
      </w:r>
      <w:r w:rsidR="008E7553" w:rsidRPr="007227F7">
        <w:rPr>
          <w:sz w:val="24"/>
          <w:szCs w:val="24"/>
        </w:rPr>
        <w:t>, vključno s</w:t>
      </w:r>
      <w:r w:rsidR="000A1C83" w:rsidRPr="007227F7">
        <w:rPr>
          <w:sz w:val="24"/>
          <w:szCs w:val="24"/>
        </w:rPr>
        <w:t xml:space="preserve"> svetovalnim inženiringom.</w:t>
      </w:r>
    </w:p>
    <w:p w:rsidR="00DC52DE" w:rsidRPr="007227F7" w:rsidRDefault="000A1C83" w:rsidP="0088713A">
      <w:pPr>
        <w:ind w:right="-567"/>
        <w:jc w:val="both"/>
        <w:rPr>
          <w:sz w:val="24"/>
          <w:szCs w:val="24"/>
        </w:rPr>
      </w:pPr>
      <w:r w:rsidRPr="007227F7">
        <w:rPr>
          <w:sz w:val="24"/>
          <w:szCs w:val="24"/>
        </w:rPr>
        <w:t>Ugotavljamo, da je žarek upanja posijal le</w:t>
      </w:r>
      <w:r w:rsidR="00811B50" w:rsidRPr="007227F7">
        <w:rPr>
          <w:sz w:val="24"/>
          <w:szCs w:val="24"/>
        </w:rPr>
        <w:t xml:space="preserve"> za kratek čas, saj predlog proračuna </w:t>
      </w:r>
      <w:r w:rsidR="007D56BD" w:rsidRPr="007227F7">
        <w:rPr>
          <w:sz w:val="24"/>
          <w:szCs w:val="24"/>
        </w:rPr>
        <w:t>MzI</w:t>
      </w:r>
      <w:r w:rsidR="00811B50" w:rsidRPr="007227F7">
        <w:rPr>
          <w:sz w:val="24"/>
          <w:szCs w:val="24"/>
        </w:rPr>
        <w:t xml:space="preserve"> </w:t>
      </w:r>
      <w:r w:rsidR="00F86BC9" w:rsidRPr="007227F7">
        <w:rPr>
          <w:sz w:val="24"/>
          <w:szCs w:val="24"/>
        </w:rPr>
        <w:t>glede na leto 2015</w:t>
      </w:r>
      <w:r w:rsidR="00DC52DE" w:rsidRPr="007227F7">
        <w:rPr>
          <w:sz w:val="24"/>
          <w:szCs w:val="24"/>
        </w:rPr>
        <w:t>, ko je zagotovljen</w:t>
      </w:r>
      <w:r w:rsidR="00F13B9D" w:rsidRPr="007227F7">
        <w:rPr>
          <w:sz w:val="24"/>
          <w:szCs w:val="24"/>
        </w:rPr>
        <w:t>ih 914,64 mio EUR, pade na 6</w:t>
      </w:r>
      <w:r w:rsidR="00DC52DE" w:rsidRPr="007227F7">
        <w:rPr>
          <w:sz w:val="24"/>
          <w:szCs w:val="24"/>
        </w:rPr>
        <w:t xml:space="preserve">37,9 mio EUR v letu 2016 in na 691,4 mio EUR v letu 2017 </w:t>
      </w:r>
      <w:r w:rsidR="00F86BC9" w:rsidRPr="007227F7">
        <w:rPr>
          <w:sz w:val="24"/>
          <w:szCs w:val="24"/>
        </w:rPr>
        <w:t xml:space="preserve"> (Diagram 4)</w:t>
      </w:r>
      <w:r w:rsidR="00811B50" w:rsidRPr="007227F7">
        <w:rPr>
          <w:sz w:val="24"/>
          <w:szCs w:val="24"/>
        </w:rPr>
        <w:t xml:space="preserve">. </w:t>
      </w:r>
    </w:p>
    <w:p w:rsidR="00DC52DE" w:rsidRPr="00DC52DE" w:rsidRDefault="00DC52DE" w:rsidP="0088713A">
      <w:pPr>
        <w:ind w:right="-567"/>
        <w:jc w:val="both"/>
      </w:pPr>
    </w:p>
    <w:p w:rsidR="009C6483" w:rsidRPr="00052ED4" w:rsidRDefault="00F86BC9" w:rsidP="0088713A">
      <w:pPr>
        <w:ind w:right="-567"/>
        <w:jc w:val="both"/>
        <w:rPr>
          <w:color w:val="FF0000"/>
        </w:rPr>
      </w:pPr>
      <w:r>
        <w:rPr>
          <w:noProof/>
          <w:lang w:eastAsia="sl-SI"/>
        </w:rPr>
        <w:drawing>
          <wp:inline distT="0" distB="0" distL="0" distR="0" wp14:anchorId="69684DCE" wp14:editId="1427642B">
            <wp:extent cx="4457700" cy="245745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6BC9" w:rsidRPr="007227F7" w:rsidRDefault="007D56BD" w:rsidP="0088713A">
      <w:pPr>
        <w:spacing w:after="60"/>
        <w:ind w:right="-567"/>
        <w:jc w:val="both"/>
        <w:rPr>
          <w:rFonts w:asciiTheme="minorHAnsi" w:hAnsiTheme="minorHAnsi"/>
          <w:b/>
          <w:i/>
          <w:sz w:val="20"/>
          <w:szCs w:val="20"/>
        </w:rPr>
      </w:pPr>
      <w:r w:rsidRPr="007227F7">
        <w:rPr>
          <w:rFonts w:asciiTheme="minorHAnsi" w:hAnsiTheme="minorHAnsi"/>
          <w:b/>
          <w:i/>
          <w:sz w:val="20"/>
          <w:szCs w:val="20"/>
        </w:rPr>
        <w:t>Diagram št. 4</w:t>
      </w:r>
      <w:r w:rsidR="00F86BC9" w:rsidRPr="007227F7">
        <w:rPr>
          <w:rFonts w:asciiTheme="minorHAnsi" w:hAnsiTheme="minorHAnsi"/>
          <w:b/>
          <w:i/>
          <w:sz w:val="20"/>
          <w:szCs w:val="20"/>
        </w:rPr>
        <w:t xml:space="preserve">: </w:t>
      </w:r>
      <w:r w:rsidR="00CC5829" w:rsidRPr="007227F7">
        <w:rPr>
          <w:rFonts w:asciiTheme="minorHAnsi" w:hAnsiTheme="minorHAnsi"/>
          <w:b/>
          <w:i/>
          <w:sz w:val="20"/>
          <w:szCs w:val="20"/>
        </w:rPr>
        <w:t>R</w:t>
      </w:r>
      <w:r w:rsidR="00F86BC9" w:rsidRPr="007227F7">
        <w:rPr>
          <w:rFonts w:asciiTheme="minorHAnsi" w:hAnsiTheme="minorHAnsi"/>
          <w:b/>
          <w:i/>
          <w:sz w:val="20"/>
          <w:szCs w:val="20"/>
        </w:rPr>
        <w:t>ealizacija proračuna MzI 2014 in napoved</w:t>
      </w:r>
      <w:r w:rsidR="00CC5829" w:rsidRPr="007227F7">
        <w:rPr>
          <w:rFonts w:asciiTheme="minorHAnsi" w:hAnsiTheme="minorHAnsi"/>
          <w:b/>
          <w:i/>
          <w:sz w:val="20"/>
          <w:szCs w:val="20"/>
        </w:rPr>
        <w:t xml:space="preserve"> 2016-2017</w:t>
      </w:r>
      <w:r w:rsidR="00F86BC9" w:rsidRPr="007227F7">
        <w:rPr>
          <w:rFonts w:asciiTheme="minorHAnsi" w:hAnsiTheme="minorHAnsi"/>
          <w:b/>
          <w:i/>
          <w:sz w:val="20"/>
          <w:szCs w:val="20"/>
        </w:rPr>
        <w:t>, vir: MzI</w:t>
      </w:r>
    </w:p>
    <w:p w:rsidR="00F86BC9" w:rsidRPr="007227F7" w:rsidRDefault="00F86BC9" w:rsidP="0088713A">
      <w:pPr>
        <w:ind w:right="-567"/>
        <w:jc w:val="both"/>
        <w:rPr>
          <w:rFonts w:asciiTheme="minorHAnsi" w:hAnsiTheme="minorHAnsi"/>
          <w:color w:val="FF0000"/>
          <w:sz w:val="24"/>
          <w:szCs w:val="24"/>
        </w:rPr>
      </w:pPr>
    </w:p>
    <w:p w:rsidR="00DF13E7" w:rsidRPr="007227F7" w:rsidRDefault="00811B50" w:rsidP="0088713A">
      <w:pPr>
        <w:ind w:right="-567"/>
        <w:jc w:val="both"/>
        <w:rPr>
          <w:rFonts w:asciiTheme="minorHAnsi" w:hAnsiTheme="minorHAnsi"/>
          <w:sz w:val="24"/>
          <w:szCs w:val="24"/>
        </w:rPr>
      </w:pPr>
      <w:r w:rsidRPr="007227F7">
        <w:rPr>
          <w:rFonts w:asciiTheme="minorHAnsi" w:hAnsiTheme="minorHAnsi"/>
          <w:sz w:val="24"/>
          <w:szCs w:val="24"/>
        </w:rPr>
        <w:t xml:space="preserve">Znižanje sredstev za skoraj 300 mio EUR je </w:t>
      </w:r>
      <w:r w:rsidR="007227F7">
        <w:rPr>
          <w:rFonts w:asciiTheme="minorHAnsi" w:hAnsiTheme="minorHAnsi"/>
          <w:sz w:val="24"/>
          <w:szCs w:val="24"/>
        </w:rPr>
        <w:t>nujno</w:t>
      </w:r>
      <w:r w:rsidR="00F13B9D" w:rsidRPr="007227F7">
        <w:rPr>
          <w:rFonts w:asciiTheme="minorHAnsi" w:hAnsiTheme="minorHAnsi"/>
          <w:sz w:val="24"/>
          <w:szCs w:val="24"/>
        </w:rPr>
        <w:t xml:space="preserve"> </w:t>
      </w:r>
      <w:r w:rsidRPr="007227F7">
        <w:rPr>
          <w:rFonts w:asciiTheme="minorHAnsi" w:hAnsiTheme="minorHAnsi"/>
          <w:sz w:val="24"/>
          <w:szCs w:val="24"/>
        </w:rPr>
        <w:t xml:space="preserve">potrebno nadomestiti. </w:t>
      </w:r>
      <w:r w:rsidR="00DF13E7" w:rsidRPr="007227F7">
        <w:rPr>
          <w:rFonts w:asciiTheme="minorHAnsi" w:hAnsiTheme="minorHAnsi"/>
          <w:sz w:val="24"/>
          <w:szCs w:val="24"/>
        </w:rPr>
        <w:t>Potrebno je preprečiti, da ponovno presežemo »zgodovinsko dno«</w:t>
      </w:r>
      <w:r w:rsidR="00DC52DE" w:rsidRPr="007227F7">
        <w:rPr>
          <w:rFonts w:asciiTheme="minorHAnsi" w:hAnsiTheme="minorHAnsi"/>
          <w:sz w:val="24"/>
          <w:szCs w:val="24"/>
        </w:rPr>
        <w:t xml:space="preserve"> obsega gradbenih del</w:t>
      </w:r>
      <w:r w:rsidR="00DF13E7" w:rsidRPr="007227F7">
        <w:rPr>
          <w:rFonts w:asciiTheme="minorHAnsi" w:hAnsiTheme="minorHAnsi"/>
          <w:sz w:val="24"/>
          <w:szCs w:val="24"/>
        </w:rPr>
        <w:t>, ki se nakazuje po projekciji, ki je bila izdelana na GZS – Zbornici za gradbeništvo in industrijo g</w:t>
      </w:r>
      <w:r w:rsidR="005A4C40" w:rsidRPr="007227F7">
        <w:rPr>
          <w:rFonts w:asciiTheme="minorHAnsi" w:hAnsiTheme="minorHAnsi"/>
          <w:sz w:val="24"/>
          <w:szCs w:val="24"/>
        </w:rPr>
        <w:t>radbenega materiala (diagram</w:t>
      </w:r>
      <w:r w:rsidR="007227F7" w:rsidRPr="007227F7">
        <w:rPr>
          <w:rFonts w:asciiTheme="minorHAnsi" w:hAnsiTheme="minorHAnsi"/>
          <w:sz w:val="24"/>
          <w:szCs w:val="24"/>
        </w:rPr>
        <w:t xml:space="preserve"> 5</w:t>
      </w:r>
      <w:r w:rsidR="005A4C40" w:rsidRPr="007227F7">
        <w:rPr>
          <w:rFonts w:asciiTheme="minorHAnsi" w:hAnsiTheme="minorHAnsi"/>
          <w:sz w:val="24"/>
          <w:szCs w:val="24"/>
        </w:rPr>
        <w:t>)</w:t>
      </w:r>
      <w:r w:rsidR="000A1C83" w:rsidRPr="007227F7">
        <w:rPr>
          <w:rFonts w:asciiTheme="minorHAnsi" w:hAnsiTheme="minorHAnsi"/>
          <w:sz w:val="24"/>
          <w:szCs w:val="24"/>
        </w:rPr>
        <w:t xml:space="preserve">. Že v letu 2016 bomo dosegli podoben obseg gradbenih del kot </w:t>
      </w:r>
      <w:r w:rsidR="00D67AE4" w:rsidRPr="007227F7">
        <w:rPr>
          <w:rFonts w:asciiTheme="minorHAnsi" w:hAnsiTheme="minorHAnsi"/>
          <w:sz w:val="24"/>
          <w:szCs w:val="24"/>
        </w:rPr>
        <w:t xml:space="preserve">v najslabšem letu </w:t>
      </w:r>
      <w:r w:rsidR="00F13B9D" w:rsidRPr="007227F7">
        <w:rPr>
          <w:rFonts w:asciiTheme="minorHAnsi" w:hAnsiTheme="minorHAnsi"/>
          <w:sz w:val="24"/>
          <w:szCs w:val="24"/>
        </w:rPr>
        <w:t xml:space="preserve">doslej, to je v letu </w:t>
      </w:r>
      <w:r w:rsidR="000A1C83" w:rsidRPr="007227F7">
        <w:rPr>
          <w:rFonts w:asciiTheme="minorHAnsi" w:hAnsiTheme="minorHAnsi"/>
          <w:sz w:val="24"/>
          <w:szCs w:val="24"/>
        </w:rPr>
        <w:t>2013, v let</w:t>
      </w:r>
      <w:r w:rsidR="00DC52DE" w:rsidRPr="007227F7">
        <w:rPr>
          <w:rFonts w:asciiTheme="minorHAnsi" w:hAnsiTheme="minorHAnsi"/>
          <w:sz w:val="24"/>
          <w:szCs w:val="24"/>
        </w:rPr>
        <w:t xml:space="preserve">u 2017 pa </w:t>
      </w:r>
      <w:r w:rsidR="00D67AE4" w:rsidRPr="007227F7">
        <w:rPr>
          <w:rFonts w:asciiTheme="minorHAnsi" w:hAnsiTheme="minorHAnsi"/>
          <w:sz w:val="24"/>
          <w:szCs w:val="24"/>
        </w:rPr>
        <w:t xml:space="preserve">se </w:t>
      </w:r>
      <w:r w:rsidR="00DC52DE" w:rsidRPr="007227F7">
        <w:rPr>
          <w:rFonts w:asciiTheme="minorHAnsi" w:hAnsiTheme="minorHAnsi"/>
          <w:sz w:val="24"/>
          <w:szCs w:val="24"/>
        </w:rPr>
        <w:t xml:space="preserve">bo stanje </w:t>
      </w:r>
      <w:r w:rsidR="00D67AE4" w:rsidRPr="007227F7">
        <w:rPr>
          <w:rFonts w:asciiTheme="minorHAnsi" w:hAnsiTheme="minorHAnsi"/>
          <w:sz w:val="24"/>
          <w:szCs w:val="24"/>
        </w:rPr>
        <w:t>še dodatno poslabšalo.</w:t>
      </w:r>
    </w:p>
    <w:p w:rsidR="00DC52DE" w:rsidRPr="007227F7" w:rsidRDefault="00DC52DE" w:rsidP="00DC52DE">
      <w:pPr>
        <w:ind w:right="-567"/>
        <w:jc w:val="both"/>
        <w:rPr>
          <w:rFonts w:asciiTheme="minorHAnsi" w:hAnsiTheme="minorHAnsi"/>
          <w:sz w:val="24"/>
          <w:szCs w:val="24"/>
        </w:rPr>
      </w:pPr>
      <w:r w:rsidRPr="007227F7">
        <w:rPr>
          <w:rFonts w:asciiTheme="minorHAnsi" w:hAnsiTheme="minorHAnsi"/>
          <w:sz w:val="24"/>
          <w:szCs w:val="24"/>
        </w:rPr>
        <w:t>Enako ugotavljamo svetovalni inženiringi, saj na vidiku ni niti projektov niti razpisov zanje.</w:t>
      </w:r>
      <w:r w:rsidR="00D67AE4" w:rsidRPr="007227F7">
        <w:rPr>
          <w:rFonts w:asciiTheme="minorHAnsi" w:hAnsiTheme="minorHAnsi"/>
          <w:sz w:val="24"/>
          <w:szCs w:val="24"/>
        </w:rPr>
        <w:t xml:space="preserve"> A</w:t>
      </w:r>
      <w:r w:rsidRPr="007227F7">
        <w:rPr>
          <w:rFonts w:asciiTheme="minorHAnsi" w:hAnsiTheme="minorHAnsi"/>
          <w:sz w:val="24"/>
          <w:szCs w:val="24"/>
        </w:rPr>
        <w:t>naliza delovanja svetovalnih inženiringov pri GZS je pokazala (diagram</w:t>
      </w:r>
      <w:r w:rsidR="007227F7" w:rsidRPr="007227F7">
        <w:rPr>
          <w:rFonts w:asciiTheme="minorHAnsi" w:hAnsiTheme="minorHAnsi"/>
          <w:sz w:val="24"/>
          <w:szCs w:val="24"/>
        </w:rPr>
        <w:t xml:space="preserve"> 6</w:t>
      </w:r>
      <w:r w:rsidRPr="007227F7">
        <w:rPr>
          <w:rFonts w:asciiTheme="minorHAnsi" w:hAnsiTheme="minorHAnsi"/>
          <w:sz w:val="24"/>
          <w:szCs w:val="24"/>
        </w:rPr>
        <w:t xml:space="preserve">), da smo </w:t>
      </w:r>
      <w:r w:rsidR="00F13B9D" w:rsidRPr="007227F7">
        <w:rPr>
          <w:rFonts w:asciiTheme="minorHAnsi" w:hAnsiTheme="minorHAnsi"/>
          <w:sz w:val="24"/>
          <w:szCs w:val="24"/>
        </w:rPr>
        <w:t xml:space="preserve">že sedaj </w:t>
      </w:r>
      <w:r w:rsidR="00020AB2">
        <w:rPr>
          <w:rFonts w:asciiTheme="minorHAnsi" w:hAnsiTheme="minorHAnsi"/>
          <w:sz w:val="24"/>
          <w:szCs w:val="24"/>
        </w:rPr>
        <w:t xml:space="preserve">po vseh kriterijih </w:t>
      </w:r>
      <w:r w:rsidRPr="007227F7">
        <w:rPr>
          <w:rFonts w:asciiTheme="minorHAnsi" w:hAnsiTheme="minorHAnsi"/>
          <w:sz w:val="24"/>
          <w:szCs w:val="24"/>
        </w:rPr>
        <w:t xml:space="preserve">na najnižji točki </w:t>
      </w:r>
      <w:r w:rsidR="00D67AE4" w:rsidRPr="007227F7">
        <w:rPr>
          <w:rFonts w:asciiTheme="minorHAnsi" w:hAnsiTheme="minorHAnsi"/>
          <w:sz w:val="24"/>
          <w:szCs w:val="24"/>
        </w:rPr>
        <w:t>d</w:t>
      </w:r>
      <w:r w:rsidR="00DF5B98" w:rsidRPr="007227F7">
        <w:rPr>
          <w:rFonts w:asciiTheme="minorHAnsi" w:hAnsiTheme="minorHAnsi"/>
          <w:sz w:val="24"/>
          <w:szCs w:val="24"/>
        </w:rPr>
        <w:t>os</w:t>
      </w:r>
      <w:r w:rsidR="00D67AE4" w:rsidRPr="007227F7">
        <w:rPr>
          <w:rFonts w:asciiTheme="minorHAnsi" w:hAnsiTheme="minorHAnsi"/>
          <w:sz w:val="24"/>
          <w:szCs w:val="24"/>
        </w:rPr>
        <w:t>l</w:t>
      </w:r>
      <w:r w:rsidR="00DF5B98" w:rsidRPr="007227F7">
        <w:rPr>
          <w:rFonts w:asciiTheme="minorHAnsi" w:hAnsiTheme="minorHAnsi"/>
          <w:sz w:val="24"/>
          <w:szCs w:val="24"/>
        </w:rPr>
        <w:t>e</w:t>
      </w:r>
      <w:r w:rsidR="00D67AE4" w:rsidRPr="007227F7">
        <w:rPr>
          <w:rFonts w:asciiTheme="minorHAnsi" w:hAnsiTheme="minorHAnsi"/>
          <w:sz w:val="24"/>
          <w:szCs w:val="24"/>
        </w:rPr>
        <w:t xml:space="preserve">j, ki se bo brez ukrepov </w:t>
      </w:r>
      <w:r w:rsidR="00DF5B98" w:rsidRPr="007227F7">
        <w:rPr>
          <w:rFonts w:asciiTheme="minorHAnsi" w:hAnsiTheme="minorHAnsi"/>
          <w:sz w:val="24"/>
          <w:szCs w:val="24"/>
        </w:rPr>
        <w:t>še dodatno poslabšala.</w:t>
      </w:r>
    </w:p>
    <w:p w:rsidR="00811B50" w:rsidRPr="00052ED4" w:rsidRDefault="00811B50" w:rsidP="0088713A">
      <w:pPr>
        <w:ind w:right="-567"/>
        <w:jc w:val="both"/>
        <w:rPr>
          <w:color w:val="FF0000"/>
        </w:rPr>
      </w:pPr>
    </w:p>
    <w:p w:rsidR="00DF13E7" w:rsidRDefault="00DF13E7" w:rsidP="0088713A">
      <w:pPr>
        <w:ind w:right="-567"/>
      </w:pPr>
      <w:r>
        <w:rPr>
          <w:noProof/>
          <w:lang w:eastAsia="sl-SI"/>
        </w:rPr>
        <w:lastRenderedPageBreak/>
        <w:drawing>
          <wp:inline distT="0" distB="0" distL="0" distR="0" wp14:anchorId="02BC31F6" wp14:editId="08D555E7">
            <wp:extent cx="3571875" cy="32977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349" cy="3318545"/>
                    </a:xfrm>
                    <a:prstGeom prst="rect">
                      <a:avLst/>
                    </a:prstGeom>
                    <a:noFill/>
                  </pic:spPr>
                </pic:pic>
              </a:graphicData>
            </a:graphic>
          </wp:inline>
        </w:drawing>
      </w:r>
    </w:p>
    <w:p w:rsidR="00DF13E7" w:rsidRPr="007227F7" w:rsidRDefault="007D56BD" w:rsidP="0088713A">
      <w:pPr>
        <w:ind w:right="-567"/>
        <w:rPr>
          <w:rFonts w:asciiTheme="minorHAnsi" w:hAnsiTheme="minorHAnsi"/>
          <w:sz w:val="20"/>
          <w:szCs w:val="20"/>
        </w:rPr>
      </w:pPr>
      <w:r w:rsidRPr="007227F7">
        <w:rPr>
          <w:rFonts w:asciiTheme="minorHAnsi" w:hAnsiTheme="minorHAnsi"/>
          <w:b/>
          <w:i/>
          <w:sz w:val="20"/>
          <w:szCs w:val="20"/>
        </w:rPr>
        <w:t>Diagram št. 5</w:t>
      </w:r>
      <w:r w:rsidR="00DF13E7" w:rsidRPr="007227F7">
        <w:rPr>
          <w:rFonts w:asciiTheme="minorHAnsi" w:hAnsiTheme="minorHAnsi"/>
          <w:b/>
          <w:i/>
          <w:sz w:val="20"/>
          <w:szCs w:val="20"/>
        </w:rPr>
        <w:t>: Obseg del v gradbeništvu med 2015 in 2016</w:t>
      </w:r>
    </w:p>
    <w:p w:rsidR="00DF13E7" w:rsidRPr="00DF13E7" w:rsidRDefault="00DF13E7" w:rsidP="0088713A">
      <w:pPr>
        <w:ind w:right="-567"/>
        <w:rPr>
          <w:rFonts w:asciiTheme="minorHAnsi" w:hAnsiTheme="minorHAnsi"/>
          <w:sz w:val="20"/>
          <w:szCs w:val="20"/>
        </w:rPr>
      </w:pPr>
      <w:r w:rsidRPr="00DF13E7">
        <w:rPr>
          <w:rFonts w:asciiTheme="minorHAnsi" w:hAnsiTheme="minorHAnsi"/>
          <w:sz w:val="20"/>
          <w:szCs w:val="20"/>
        </w:rPr>
        <w:t xml:space="preserve">* </w:t>
      </w:r>
      <w:r>
        <w:rPr>
          <w:rFonts w:asciiTheme="minorHAnsi" w:hAnsiTheme="minorHAnsi"/>
          <w:sz w:val="20"/>
          <w:szCs w:val="20"/>
        </w:rPr>
        <w:t xml:space="preserve">in ** </w:t>
      </w:r>
      <w:r w:rsidRPr="00DF13E7">
        <w:rPr>
          <w:rFonts w:asciiTheme="minorHAnsi" w:hAnsiTheme="minorHAnsi"/>
          <w:sz w:val="20"/>
          <w:szCs w:val="20"/>
        </w:rPr>
        <w:t xml:space="preserve">Ocena na osnovi razpoložljivih stat. podatkov </w:t>
      </w:r>
    </w:p>
    <w:p w:rsidR="00DF13E7" w:rsidRPr="00DF13E7" w:rsidRDefault="00DF13E7" w:rsidP="0088713A">
      <w:pPr>
        <w:ind w:right="-567"/>
        <w:rPr>
          <w:rFonts w:asciiTheme="minorHAnsi" w:hAnsiTheme="minorHAnsi"/>
          <w:sz w:val="20"/>
          <w:szCs w:val="20"/>
        </w:rPr>
      </w:pPr>
      <w:r w:rsidRPr="00DF13E7">
        <w:rPr>
          <w:rFonts w:asciiTheme="minorHAnsi" w:hAnsiTheme="minorHAnsi"/>
          <w:sz w:val="20"/>
          <w:szCs w:val="20"/>
        </w:rPr>
        <w:t xml:space="preserve">Ocena GZS ZGIGM 9. 2015,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F13E7">
        <w:rPr>
          <w:rFonts w:asciiTheme="minorHAnsi" w:hAnsiTheme="minorHAnsi"/>
          <w:sz w:val="20"/>
          <w:szCs w:val="20"/>
        </w:rPr>
        <w:t>Vir</w:t>
      </w:r>
      <w:r w:rsidR="00020AB2">
        <w:rPr>
          <w:rFonts w:asciiTheme="minorHAnsi" w:hAnsiTheme="minorHAnsi"/>
          <w:sz w:val="20"/>
          <w:szCs w:val="20"/>
        </w:rPr>
        <w:t>:</w:t>
      </w:r>
      <w:r w:rsidRPr="00DF13E7">
        <w:rPr>
          <w:rFonts w:asciiTheme="minorHAnsi" w:hAnsiTheme="minorHAnsi"/>
          <w:sz w:val="20"/>
          <w:szCs w:val="20"/>
        </w:rPr>
        <w:t xml:space="preserve"> SURS</w:t>
      </w:r>
    </w:p>
    <w:p w:rsidR="00DC52DE" w:rsidRDefault="00DC52DE" w:rsidP="0088713A">
      <w:pPr>
        <w:spacing w:after="60"/>
        <w:ind w:right="-567"/>
        <w:jc w:val="both"/>
        <w:rPr>
          <w:rFonts w:asciiTheme="minorHAnsi" w:hAnsiTheme="minorHAnsi"/>
          <w:sz w:val="24"/>
          <w:szCs w:val="24"/>
        </w:rPr>
      </w:pPr>
    </w:p>
    <w:p w:rsidR="00DC52DE" w:rsidRDefault="00DC52DE" w:rsidP="0088713A">
      <w:pPr>
        <w:spacing w:after="60"/>
        <w:ind w:right="-567"/>
        <w:jc w:val="both"/>
        <w:rPr>
          <w:rFonts w:asciiTheme="minorHAnsi" w:hAnsiTheme="minorHAnsi"/>
          <w:b/>
          <w:sz w:val="24"/>
          <w:szCs w:val="24"/>
        </w:rPr>
      </w:pPr>
    </w:p>
    <w:p w:rsidR="001E0105" w:rsidRDefault="00020AB2" w:rsidP="0088713A">
      <w:pPr>
        <w:spacing w:after="60"/>
        <w:ind w:right="-567"/>
        <w:jc w:val="both"/>
        <w:rPr>
          <w:rFonts w:asciiTheme="minorHAnsi" w:hAnsiTheme="minorHAnsi"/>
          <w:b/>
          <w:sz w:val="24"/>
          <w:szCs w:val="24"/>
        </w:rPr>
      </w:pPr>
      <w:r>
        <w:rPr>
          <w:noProof/>
          <w:lang w:eastAsia="sl-SI"/>
        </w:rPr>
        <w:drawing>
          <wp:inline distT="0" distB="0" distL="0" distR="0" wp14:anchorId="25259848" wp14:editId="2E4FCAEA">
            <wp:extent cx="4572000" cy="274320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5F4C" w:rsidRPr="007227F7" w:rsidRDefault="00435F4C" w:rsidP="0088713A">
      <w:pPr>
        <w:spacing w:after="60"/>
        <w:ind w:right="-567"/>
        <w:jc w:val="both"/>
        <w:rPr>
          <w:rFonts w:asciiTheme="minorHAnsi" w:hAnsiTheme="minorHAnsi"/>
          <w:b/>
          <w:sz w:val="20"/>
          <w:szCs w:val="20"/>
        </w:rPr>
      </w:pPr>
    </w:p>
    <w:p w:rsidR="00DC52DE" w:rsidRPr="00020AB2" w:rsidRDefault="007D56BD" w:rsidP="0088713A">
      <w:pPr>
        <w:spacing w:after="60"/>
        <w:ind w:right="-567"/>
        <w:jc w:val="both"/>
        <w:rPr>
          <w:rFonts w:asciiTheme="minorHAnsi" w:hAnsiTheme="minorHAnsi"/>
          <w:b/>
          <w:i/>
          <w:sz w:val="20"/>
          <w:szCs w:val="20"/>
        </w:rPr>
      </w:pPr>
      <w:r w:rsidRPr="00020AB2">
        <w:rPr>
          <w:rFonts w:asciiTheme="minorHAnsi" w:hAnsiTheme="minorHAnsi"/>
          <w:b/>
          <w:i/>
          <w:sz w:val="20"/>
          <w:szCs w:val="20"/>
        </w:rPr>
        <w:t>Diagram št. 6</w:t>
      </w:r>
      <w:r w:rsidR="00DC52DE" w:rsidRPr="00020AB2">
        <w:rPr>
          <w:rFonts w:asciiTheme="minorHAnsi" w:hAnsiTheme="minorHAnsi"/>
          <w:b/>
          <w:i/>
          <w:sz w:val="20"/>
          <w:szCs w:val="20"/>
        </w:rPr>
        <w:t xml:space="preserve"> Analiza svetovalnih inženiringov</w:t>
      </w:r>
      <w:r w:rsidR="00DC52DE" w:rsidRPr="00020AB2">
        <w:rPr>
          <w:rFonts w:asciiTheme="minorHAnsi" w:hAnsiTheme="minorHAnsi"/>
          <w:b/>
          <w:i/>
          <w:sz w:val="20"/>
          <w:szCs w:val="20"/>
        </w:rPr>
        <w:tab/>
      </w:r>
      <w:r w:rsidR="00020AB2" w:rsidRPr="00020AB2">
        <w:rPr>
          <w:rFonts w:asciiTheme="minorHAnsi" w:hAnsiTheme="minorHAnsi"/>
          <w:b/>
          <w:i/>
          <w:sz w:val="20"/>
          <w:szCs w:val="20"/>
        </w:rPr>
        <w:tab/>
      </w:r>
      <w:r w:rsidR="00020AB2" w:rsidRPr="00020AB2">
        <w:rPr>
          <w:rFonts w:asciiTheme="minorHAnsi" w:hAnsiTheme="minorHAnsi"/>
          <w:b/>
          <w:i/>
          <w:sz w:val="20"/>
          <w:szCs w:val="20"/>
        </w:rPr>
        <w:tab/>
      </w:r>
      <w:r w:rsidR="00DC52DE" w:rsidRPr="00020AB2">
        <w:rPr>
          <w:rFonts w:asciiTheme="minorHAnsi" w:hAnsiTheme="minorHAnsi"/>
          <w:i/>
          <w:sz w:val="20"/>
          <w:szCs w:val="20"/>
        </w:rPr>
        <w:t>Vir: GZS</w:t>
      </w:r>
    </w:p>
    <w:p w:rsidR="00DC52DE" w:rsidRDefault="00DC52DE" w:rsidP="0088713A">
      <w:pPr>
        <w:spacing w:after="60"/>
        <w:ind w:right="-567"/>
        <w:jc w:val="both"/>
        <w:rPr>
          <w:rFonts w:asciiTheme="minorHAnsi" w:hAnsiTheme="minorHAnsi"/>
          <w:sz w:val="24"/>
          <w:szCs w:val="24"/>
        </w:rPr>
      </w:pPr>
    </w:p>
    <w:p w:rsidR="00DC52DE" w:rsidRDefault="00DC52DE" w:rsidP="0088713A">
      <w:pPr>
        <w:spacing w:after="60"/>
        <w:ind w:right="-567"/>
        <w:jc w:val="both"/>
        <w:rPr>
          <w:rFonts w:asciiTheme="minorHAnsi" w:hAnsiTheme="minorHAnsi"/>
          <w:sz w:val="24"/>
          <w:szCs w:val="24"/>
        </w:rPr>
      </w:pPr>
    </w:p>
    <w:p w:rsidR="00C35FC4" w:rsidRDefault="005A4C40" w:rsidP="0088713A">
      <w:pPr>
        <w:spacing w:after="60"/>
        <w:ind w:right="-567"/>
        <w:jc w:val="both"/>
        <w:rPr>
          <w:rFonts w:asciiTheme="minorHAnsi" w:hAnsiTheme="minorHAnsi"/>
          <w:sz w:val="24"/>
          <w:szCs w:val="24"/>
        </w:rPr>
      </w:pPr>
      <w:r>
        <w:rPr>
          <w:rFonts w:asciiTheme="minorHAnsi" w:hAnsiTheme="minorHAnsi"/>
          <w:sz w:val="24"/>
          <w:szCs w:val="24"/>
        </w:rPr>
        <w:t xml:space="preserve">Kakšne so realne možnosti, da preprečimo ponovitev </w:t>
      </w:r>
      <w:r w:rsidR="00DF5B98">
        <w:rPr>
          <w:rFonts w:asciiTheme="minorHAnsi" w:hAnsiTheme="minorHAnsi"/>
          <w:sz w:val="24"/>
          <w:szCs w:val="24"/>
        </w:rPr>
        <w:t>najslabših</w:t>
      </w:r>
      <w:r>
        <w:rPr>
          <w:rFonts w:asciiTheme="minorHAnsi" w:hAnsiTheme="minorHAnsi"/>
          <w:sz w:val="24"/>
          <w:szCs w:val="24"/>
        </w:rPr>
        <w:t xml:space="preserve"> kriznih let 2012 in 2013?</w:t>
      </w:r>
    </w:p>
    <w:p w:rsidR="006F2D92" w:rsidRDefault="005A4C40" w:rsidP="0088713A">
      <w:pPr>
        <w:spacing w:after="60"/>
        <w:ind w:right="-567"/>
        <w:jc w:val="both"/>
        <w:rPr>
          <w:rFonts w:asciiTheme="minorHAnsi" w:hAnsiTheme="minorHAnsi"/>
          <w:sz w:val="24"/>
          <w:szCs w:val="24"/>
        </w:rPr>
      </w:pPr>
      <w:r>
        <w:rPr>
          <w:rFonts w:asciiTheme="minorHAnsi" w:hAnsiTheme="minorHAnsi"/>
          <w:sz w:val="24"/>
          <w:szCs w:val="24"/>
        </w:rPr>
        <w:lastRenderedPageBreak/>
        <w:t xml:space="preserve">Po globokem </w:t>
      </w:r>
      <w:r w:rsidR="006F2D92">
        <w:rPr>
          <w:rFonts w:asciiTheme="minorHAnsi" w:hAnsiTheme="minorHAnsi"/>
          <w:sz w:val="24"/>
          <w:szCs w:val="24"/>
        </w:rPr>
        <w:t xml:space="preserve">osebnem </w:t>
      </w:r>
      <w:r>
        <w:rPr>
          <w:rFonts w:asciiTheme="minorHAnsi" w:hAnsiTheme="minorHAnsi"/>
          <w:sz w:val="24"/>
          <w:szCs w:val="24"/>
        </w:rPr>
        <w:t xml:space="preserve">prepričanju sta na področju prometne infrastrukture </w:t>
      </w:r>
      <w:r w:rsidR="006F2D92">
        <w:rPr>
          <w:rFonts w:asciiTheme="minorHAnsi" w:hAnsiTheme="minorHAnsi"/>
          <w:sz w:val="24"/>
          <w:szCs w:val="24"/>
        </w:rPr>
        <w:t>predvsem dve možnosti in sicer:</w:t>
      </w:r>
    </w:p>
    <w:p w:rsidR="006F2D92" w:rsidRDefault="006F2D92" w:rsidP="0088713A">
      <w:pPr>
        <w:spacing w:after="60"/>
        <w:ind w:right="-567"/>
        <w:jc w:val="both"/>
        <w:rPr>
          <w:rFonts w:asciiTheme="minorHAnsi" w:hAnsiTheme="minorHAnsi"/>
          <w:sz w:val="24"/>
          <w:szCs w:val="24"/>
        </w:rPr>
      </w:pPr>
    </w:p>
    <w:p w:rsidR="006F2D92" w:rsidRDefault="006F2D92" w:rsidP="006F2D92">
      <w:pPr>
        <w:pStyle w:val="Odstavekseznama"/>
        <w:numPr>
          <w:ilvl w:val="0"/>
          <w:numId w:val="8"/>
        </w:numPr>
        <w:spacing w:after="60"/>
        <w:ind w:right="-567"/>
        <w:jc w:val="both"/>
        <w:rPr>
          <w:rFonts w:asciiTheme="minorHAnsi" w:hAnsiTheme="minorHAnsi"/>
          <w:sz w:val="24"/>
          <w:szCs w:val="24"/>
        </w:rPr>
      </w:pPr>
      <w:r w:rsidRPr="006F2D92">
        <w:rPr>
          <w:rFonts w:asciiTheme="minorHAnsi" w:hAnsiTheme="minorHAnsi"/>
          <w:sz w:val="24"/>
          <w:szCs w:val="24"/>
        </w:rPr>
        <w:t>Zagotovitev namenskih sredstev -</w:t>
      </w:r>
      <w:r w:rsidR="00DF5B98">
        <w:rPr>
          <w:rFonts w:asciiTheme="minorHAnsi" w:hAnsiTheme="minorHAnsi"/>
          <w:sz w:val="24"/>
          <w:szCs w:val="24"/>
        </w:rPr>
        <w:t xml:space="preserve"> infrastrukturni sklad</w:t>
      </w:r>
      <w:r w:rsidR="00CC5829" w:rsidRPr="006F2D92">
        <w:rPr>
          <w:rFonts w:asciiTheme="minorHAnsi" w:hAnsiTheme="minorHAnsi"/>
          <w:sz w:val="24"/>
          <w:szCs w:val="24"/>
        </w:rPr>
        <w:t xml:space="preserve"> in </w:t>
      </w:r>
    </w:p>
    <w:p w:rsidR="006F2D92" w:rsidRDefault="00CC5829" w:rsidP="006F2D92">
      <w:pPr>
        <w:pStyle w:val="Odstavekseznama"/>
        <w:numPr>
          <w:ilvl w:val="0"/>
          <w:numId w:val="8"/>
        </w:numPr>
        <w:spacing w:after="60"/>
        <w:ind w:right="-567"/>
        <w:jc w:val="both"/>
        <w:rPr>
          <w:rFonts w:asciiTheme="minorHAnsi" w:hAnsiTheme="minorHAnsi"/>
          <w:sz w:val="24"/>
          <w:szCs w:val="24"/>
        </w:rPr>
      </w:pPr>
      <w:r w:rsidRPr="006F2D92">
        <w:rPr>
          <w:rFonts w:asciiTheme="minorHAnsi" w:hAnsiTheme="minorHAnsi"/>
          <w:sz w:val="24"/>
          <w:szCs w:val="24"/>
        </w:rPr>
        <w:t xml:space="preserve">okrepitev investicijske dejavnosti DARS. </w:t>
      </w:r>
    </w:p>
    <w:p w:rsidR="006F2D92" w:rsidRDefault="006F2D92" w:rsidP="006F2D92">
      <w:pPr>
        <w:pStyle w:val="Odstavekseznama"/>
        <w:spacing w:after="60"/>
        <w:ind w:right="-567"/>
        <w:jc w:val="both"/>
        <w:rPr>
          <w:rFonts w:asciiTheme="minorHAnsi" w:hAnsiTheme="minorHAnsi"/>
          <w:sz w:val="24"/>
          <w:szCs w:val="24"/>
        </w:rPr>
      </w:pPr>
    </w:p>
    <w:p w:rsidR="00C35FC4" w:rsidRPr="006F2D92" w:rsidRDefault="00CC5829" w:rsidP="006F2D92">
      <w:pPr>
        <w:spacing w:after="60"/>
        <w:ind w:right="-567"/>
        <w:jc w:val="both"/>
        <w:rPr>
          <w:rFonts w:asciiTheme="minorHAnsi" w:hAnsiTheme="minorHAnsi"/>
          <w:sz w:val="24"/>
          <w:szCs w:val="24"/>
        </w:rPr>
      </w:pPr>
      <w:r w:rsidRPr="006F2D92">
        <w:rPr>
          <w:rFonts w:asciiTheme="minorHAnsi" w:hAnsiTheme="minorHAnsi"/>
          <w:sz w:val="24"/>
          <w:szCs w:val="24"/>
        </w:rPr>
        <w:t>Če je infrastrukturni sklad predvsem v domeni politike,</w:t>
      </w:r>
      <w:r w:rsidR="006F2D92">
        <w:rPr>
          <w:rFonts w:asciiTheme="minorHAnsi" w:hAnsiTheme="minorHAnsi"/>
          <w:sz w:val="24"/>
          <w:szCs w:val="24"/>
        </w:rPr>
        <w:t xml:space="preserve"> ki mora spremeniti Zakon o zagotavljanju sredstev za investicije v prometno infrastrukturo,</w:t>
      </w:r>
      <w:r w:rsidRPr="006F2D92">
        <w:rPr>
          <w:rFonts w:asciiTheme="minorHAnsi" w:hAnsiTheme="minorHAnsi"/>
          <w:sz w:val="24"/>
          <w:szCs w:val="24"/>
        </w:rPr>
        <w:t xml:space="preserve"> pa la</w:t>
      </w:r>
      <w:r w:rsidR="006F2D92">
        <w:rPr>
          <w:rFonts w:asciiTheme="minorHAnsi" w:hAnsiTheme="minorHAnsi"/>
          <w:sz w:val="24"/>
          <w:szCs w:val="24"/>
        </w:rPr>
        <w:t xml:space="preserve">hko na osnovi </w:t>
      </w:r>
      <w:r w:rsidR="007227F7">
        <w:rPr>
          <w:rFonts w:asciiTheme="minorHAnsi" w:hAnsiTheme="minorHAnsi"/>
          <w:b/>
          <w:sz w:val="24"/>
          <w:szCs w:val="24"/>
        </w:rPr>
        <w:t>Diagrama 7</w:t>
      </w:r>
      <w:r w:rsidR="000A1C83" w:rsidRPr="006F2D92">
        <w:rPr>
          <w:rFonts w:asciiTheme="minorHAnsi" w:hAnsiTheme="minorHAnsi"/>
          <w:sz w:val="24"/>
          <w:szCs w:val="24"/>
        </w:rPr>
        <w:t xml:space="preserve"> in prikazanega primera Asfinag</w:t>
      </w:r>
      <w:r w:rsidRPr="006F2D92">
        <w:rPr>
          <w:rFonts w:asciiTheme="minorHAnsi" w:hAnsiTheme="minorHAnsi"/>
          <w:sz w:val="24"/>
          <w:szCs w:val="24"/>
        </w:rPr>
        <w:t>, nedvomno ugotovim</w:t>
      </w:r>
      <w:r w:rsidR="006F2D92">
        <w:rPr>
          <w:rFonts w:asciiTheme="minorHAnsi" w:hAnsiTheme="minorHAnsi"/>
          <w:sz w:val="24"/>
          <w:szCs w:val="24"/>
        </w:rPr>
        <w:t>o</w:t>
      </w:r>
      <w:r w:rsidRPr="006F2D92">
        <w:rPr>
          <w:rFonts w:asciiTheme="minorHAnsi" w:hAnsiTheme="minorHAnsi"/>
          <w:sz w:val="24"/>
          <w:szCs w:val="24"/>
        </w:rPr>
        <w:t xml:space="preserve">, da so </w:t>
      </w:r>
      <w:r w:rsidR="007227F7">
        <w:rPr>
          <w:rFonts w:asciiTheme="minorHAnsi" w:hAnsiTheme="minorHAnsi"/>
          <w:sz w:val="24"/>
          <w:szCs w:val="24"/>
        </w:rPr>
        <w:t>pri DARS-u</w:t>
      </w:r>
      <w:r w:rsidRPr="006F2D92">
        <w:rPr>
          <w:rFonts w:asciiTheme="minorHAnsi" w:hAnsiTheme="minorHAnsi"/>
          <w:sz w:val="24"/>
          <w:szCs w:val="24"/>
        </w:rPr>
        <w:t xml:space="preserve"> možnosti</w:t>
      </w:r>
      <w:r w:rsidR="000A1C83" w:rsidRPr="006F2D92">
        <w:rPr>
          <w:rFonts w:asciiTheme="minorHAnsi" w:hAnsiTheme="minorHAnsi"/>
          <w:sz w:val="24"/>
          <w:szCs w:val="24"/>
        </w:rPr>
        <w:t xml:space="preserve"> </w:t>
      </w:r>
      <w:r w:rsidR="00DF5B98">
        <w:rPr>
          <w:rFonts w:asciiTheme="minorHAnsi" w:hAnsiTheme="minorHAnsi"/>
          <w:sz w:val="24"/>
          <w:szCs w:val="24"/>
        </w:rPr>
        <w:t>takojšnje</w:t>
      </w:r>
      <w:r w:rsidRPr="006F2D92">
        <w:rPr>
          <w:rFonts w:asciiTheme="minorHAnsi" w:hAnsiTheme="minorHAnsi"/>
          <w:sz w:val="24"/>
          <w:szCs w:val="24"/>
        </w:rPr>
        <w:t xml:space="preserve">. Poleg pospešitve </w:t>
      </w:r>
      <w:r w:rsidR="007227F7">
        <w:rPr>
          <w:rFonts w:asciiTheme="minorHAnsi" w:hAnsiTheme="minorHAnsi"/>
          <w:sz w:val="24"/>
          <w:szCs w:val="24"/>
        </w:rPr>
        <w:t xml:space="preserve">realizacije </w:t>
      </w:r>
      <w:r w:rsidRPr="006F2D92">
        <w:rPr>
          <w:rFonts w:asciiTheme="minorHAnsi" w:hAnsiTheme="minorHAnsi"/>
          <w:sz w:val="24"/>
          <w:szCs w:val="24"/>
        </w:rPr>
        <w:t xml:space="preserve">novih projektov so </w:t>
      </w:r>
      <w:r w:rsidR="007227F7">
        <w:rPr>
          <w:rFonts w:asciiTheme="minorHAnsi" w:hAnsiTheme="minorHAnsi"/>
          <w:sz w:val="24"/>
          <w:szCs w:val="24"/>
        </w:rPr>
        <w:t>potrebna višja vlaganja v obnove, predvsem v obnove vozišč.</w:t>
      </w:r>
    </w:p>
    <w:p w:rsidR="00CC5829" w:rsidRPr="00705A80" w:rsidRDefault="00CC5829" w:rsidP="0088713A">
      <w:pPr>
        <w:spacing w:after="60"/>
        <w:ind w:right="-567"/>
        <w:jc w:val="both"/>
        <w:rPr>
          <w:rFonts w:asciiTheme="minorHAnsi" w:hAnsiTheme="minorHAnsi"/>
          <w:sz w:val="24"/>
          <w:szCs w:val="24"/>
        </w:rPr>
      </w:pPr>
    </w:p>
    <w:p w:rsidR="00DF13E7" w:rsidRPr="00705A80" w:rsidRDefault="005A4C40" w:rsidP="0088713A">
      <w:pPr>
        <w:spacing w:after="60"/>
        <w:ind w:right="-567"/>
        <w:jc w:val="both"/>
        <w:rPr>
          <w:rFonts w:asciiTheme="minorHAnsi" w:hAnsiTheme="minorHAnsi"/>
          <w:sz w:val="24"/>
          <w:szCs w:val="24"/>
        </w:rPr>
      </w:pPr>
      <w:r>
        <w:rPr>
          <w:noProof/>
          <w:lang w:eastAsia="sl-SI"/>
        </w:rPr>
        <w:drawing>
          <wp:inline distT="0" distB="0" distL="0" distR="0" wp14:anchorId="62E690D3" wp14:editId="6753CE91">
            <wp:extent cx="5760720" cy="3052445"/>
            <wp:effectExtent l="0" t="0" r="11430" b="1460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5829" w:rsidRPr="007227F7" w:rsidRDefault="007D56BD" w:rsidP="0088713A">
      <w:pPr>
        <w:ind w:right="-567"/>
        <w:rPr>
          <w:rFonts w:asciiTheme="minorHAnsi" w:hAnsiTheme="minorHAnsi"/>
          <w:i/>
          <w:sz w:val="20"/>
          <w:szCs w:val="20"/>
        </w:rPr>
      </w:pPr>
      <w:r w:rsidRPr="007227F7">
        <w:rPr>
          <w:rFonts w:asciiTheme="minorHAnsi" w:hAnsiTheme="minorHAnsi"/>
          <w:b/>
          <w:i/>
          <w:sz w:val="20"/>
          <w:szCs w:val="20"/>
        </w:rPr>
        <w:t>Diagram št. 7</w:t>
      </w:r>
      <w:r w:rsidR="00CC5829" w:rsidRPr="007227F7">
        <w:rPr>
          <w:rFonts w:asciiTheme="minorHAnsi" w:hAnsiTheme="minorHAnsi"/>
          <w:b/>
          <w:i/>
          <w:sz w:val="20"/>
          <w:szCs w:val="20"/>
        </w:rPr>
        <w:t>: Obseg vlaganj v avtoceste v obdobju 2008 -2015</w:t>
      </w:r>
      <w:r w:rsidR="006F2D92" w:rsidRPr="007227F7">
        <w:rPr>
          <w:rFonts w:asciiTheme="minorHAnsi" w:hAnsiTheme="minorHAnsi"/>
          <w:b/>
          <w:i/>
          <w:sz w:val="20"/>
          <w:szCs w:val="20"/>
        </w:rPr>
        <w:tab/>
      </w:r>
      <w:r w:rsidR="006F2D92" w:rsidRPr="007227F7">
        <w:rPr>
          <w:rFonts w:asciiTheme="minorHAnsi" w:hAnsiTheme="minorHAnsi"/>
          <w:b/>
          <w:i/>
          <w:sz w:val="20"/>
          <w:szCs w:val="20"/>
        </w:rPr>
        <w:tab/>
      </w:r>
      <w:r w:rsidR="006F2D92" w:rsidRPr="007227F7">
        <w:rPr>
          <w:rFonts w:asciiTheme="minorHAnsi" w:hAnsiTheme="minorHAnsi"/>
          <w:b/>
          <w:i/>
          <w:sz w:val="20"/>
          <w:szCs w:val="20"/>
        </w:rPr>
        <w:tab/>
      </w:r>
      <w:r w:rsidR="007227F7">
        <w:rPr>
          <w:rFonts w:asciiTheme="minorHAnsi" w:hAnsiTheme="minorHAnsi"/>
          <w:b/>
          <w:i/>
          <w:sz w:val="20"/>
          <w:szCs w:val="20"/>
        </w:rPr>
        <w:tab/>
      </w:r>
      <w:r w:rsidR="006F2D92" w:rsidRPr="007227F7">
        <w:rPr>
          <w:rFonts w:asciiTheme="minorHAnsi" w:hAnsiTheme="minorHAnsi"/>
          <w:i/>
          <w:sz w:val="20"/>
          <w:szCs w:val="20"/>
        </w:rPr>
        <w:t>Vir: DARS</w:t>
      </w:r>
    </w:p>
    <w:p w:rsidR="00DF13E7" w:rsidRDefault="00DF13E7" w:rsidP="0088713A">
      <w:pPr>
        <w:spacing w:after="60"/>
        <w:ind w:right="-567"/>
        <w:jc w:val="both"/>
        <w:rPr>
          <w:rFonts w:asciiTheme="minorHAnsi" w:hAnsiTheme="minorHAnsi"/>
          <w:b/>
          <w:i/>
          <w:sz w:val="24"/>
          <w:szCs w:val="24"/>
        </w:rPr>
      </w:pPr>
    </w:p>
    <w:p w:rsidR="006F2D92" w:rsidRDefault="006F2D92" w:rsidP="0088713A">
      <w:pPr>
        <w:spacing w:after="60"/>
        <w:ind w:right="-567"/>
        <w:jc w:val="both"/>
        <w:rPr>
          <w:rFonts w:asciiTheme="minorHAnsi" w:hAnsiTheme="minorHAnsi"/>
          <w:sz w:val="24"/>
          <w:szCs w:val="24"/>
        </w:rPr>
      </w:pPr>
      <w:r>
        <w:rPr>
          <w:rFonts w:asciiTheme="minorHAnsi" w:hAnsiTheme="minorHAnsi"/>
          <w:sz w:val="24"/>
          <w:szCs w:val="24"/>
        </w:rPr>
        <w:t xml:space="preserve">V </w:t>
      </w:r>
      <w:r w:rsidR="007D56BD">
        <w:rPr>
          <w:rFonts w:asciiTheme="minorHAnsi" w:hAnsiTheme="minorHAnsi"/>
          <w:b/>
          <w:sz w:val="24"/>
          <w:szCs w:val="24"/>
        </w:rPr>
        <w:t>diagramu 7</w:t>
      </w:r>
      <w:r w:rsidR="000A1C83">
        <w:rPr>
          <w:rFonts w:asciiTheme="minorHAnsi" w:hAnsiTheme="minorHAnsi"/>
          <w:sz w:val="24"/>
          <w:szCs w:val="24"/>
        </w:rPr>
        <w:t xml:space="preserve"> je prikazan obseg vlaganj DARS-a v </w:t>
      </w:r>
      <w:r>
        <w:rPr>
          <w:rFonts w:asciiTheme="minorHAnsi" w:hAnsiTheme="minorHAnsi"/>
          <w:sz w:val="24"/>
          <w:szCs w:val="24"/>
        </w:rPr>
        <w:t>obdobju 2008 - 2015</w:t>
      </w:r>
      <w:r w:rsidR="000A1C83">
        <w:rPr>
          <w:rFonts w:asciiTheme="minorHAnsi" w:hAnsiTheme="minorHAnsi"/>
          <w:sz w:val="24"/>
          <w:szCs w:val="24"/>
        </w:rPr>
        <w:t xml:space="preserve">. </w:t>
      </w:r>
      <w:r>
        <w:rPr>
          <w:rFonts w:asciiTheme="minorHAnsi" w:hAnsiTheme="minorHAnsi"/>
          <w:sz w:val="24"/>
          <w:szCs w:val="24"/>
        </w:rPr>
        <w:t>Če je bilo obdobje do leta 2008 zaznamovano s prekomernimi vlaganji v zaključevanje 150 km avtocest</w:t>
      </w:r>
      <w:r w:rsidR="00D25E90">
        <w:rPr>
          <w:rFonts w:asciiTheme="minorHAnsi" w:hAnsiTheme="minorHAnsi"/>
          <w:sz w:val="24"/>
          <w:szCs w:val="24"/>
        </w:rPr>
        <w:t xml:space="preserve"> </w:t>
      </w:r>
      <w:r w:rsidR="00DF5B98">
        <w:rPr>
          <w:rFonts w:asciiTheme="minorHAnsi" w:hAnsiTheme="minorHAnsi"/>
          <w:sz w:val="24"/>
          <w:szCs w:val="24"/>
        </w:rPr>
        <w:t xml:space="preserve">v SV Sloveniji in </w:t>
      </w:r>
      <w:r w:rsidR="007227F7">
        <w:rPr>
          <w:rFonts w:asciiTheme="minorHAnsi" w:hAnsiTheme="minorHAnsi"/>
          <w:sz w:val="24"/>
          <w:szCs w:val="24"/>
        </w:rPr>
        <w:t>manjkajočih odsekov pri Trebnjem</w:t>
      </w:r>
      <w:r w:rsidR="00DF5B98">
        <w:rPr>
          <w:rFonts w:asciiTheme="minorHAnsi" w:hAnsiTheme="minorHAnsi"/>
          <w:sz w:val="24"/>
          <w:szCs w:val="24"/>
        </w:rPr>
        <w:t xml:space="preserve"> in Radovljici</w:t>
      </w:r>
      <w:r>
        <w:rPr>
          <w:rFonts w:asciiTheme="minorHAnsi" w:hAnsiTheme="minorHAnsi"/>
          <w:sz w:val="24"/>
          <w:szCs w:val="24"/>
        </w:rPr>
        <w:t>, ki so se gradile veliko hitreje</w:t>
      </w:r>
      <w:r w:rsidR="00DF3F82">
        <w:rPr>
          <w:rFonts w:asciiTheme="minorHAnsi" w:hAnsiTheme="minorHAnsi"/>
          <w:sz w:val="24"/>
          <w:szCs w:val="24"/>
        </w:rPr>
        <w:t>,</w:t>
      </w:r>
      <w:r>
        <w:rPr>
          <w:rFonts w:asciiTheme="minorHAnsi" w:hAnsiTheme="minorHAnsi"/>
          <w:sz w:val="24"/>
          <w:szCs w:val="24"/>
        </w:rPr>
        <w:t xml:space="preserve"> kot bi se po veljavnem Zakonu o gradnji avtocest</w:t>
      </w:r>
      <w:r w:rsidR="00DF5B98">
        <w:rPr>
          <w:rFonts w:asciiTheme="minorHAnsi" w:hAnsiTheme="minorHAnsi"/>
          <w:sz w:val="24"/>
          <w:szCs w:val="24"/>
        </w:rPr>
        <w:t xml:space="preserve"> smele</w:t>
      </w:r>
      <w:r>
        <w:rPr>
          <w:rFonts w:asciiTheme="minorHAnsi" w:hAnsiTheme="minorHAnsi"/>
          <w:sz w:val="24"/>
          <w:szCs w:val="24"/>
        </w:rPr>
        <w:t>, pa je bilo obdobje 2011 – 2015 zaznamovano z ekstremnim znižanjem investicijske dejavnosti. V zadnjih 5. letih je DARS v gradnje in obnove</w:t>
      </w:r>
      <w:r w:rsidR="00DF5B98">
        <w:rPr>
          <w:rFonts w:asciiTheme="minorHAnsi" w:hAnsiTheme="minorHAnsi"/>
          <w:sz w:val="24"/>
          <w:szCs w:val="24"/>
        </w:rPr>
        <w:t xml:space="preserve"> </w:t>
      </w:r>
      <w:r>
        <w:rPr>
          <w:rFonts w:asciiTheme="minorHAnsi" w:hAnsiTheme="minorHAnsi"/>
          <w:sz w:val="24"/>
          <w:szCs w:val="24"/>
        </w:rPr>
        <w:t>vlagal povprečno samo 77 mio EUR letno. O</w:t>
      </w:r>
      <w:r w:rsidR="00DF5B98">
        <w:rPr>
          <w:rFonts w:asciiTheme="minorHAnsi" w:hAnsiTheme="minorHAnsi"/>
          <w:sz w:val="24"/>
          <w:szCs w:val="24"/>
        </w:rPr>
        <w:t>b temu ni</w:t>
      </w:r>
      <w:r>
        <w:rPr>
          <w:rFonts w:asciiTheme="minorHAnsi" w:hAnsiTheme="minorHAnsi"/>
          <w:sz w:val="24"/>
          <w:szCs w:val="24"/>
        </w:rPr>
        <w:t xml:space="preserve"> </w:t>
      </w:r>
      <w:r w:rsidR="00F13B9D">
        <w:rPr>
          <w:rFonts w:asciiTheme="minorHAnsi" w:hAnsiTheme="minorHAnsi"/>
          <w:sz w:val="24"/>
          <w:szCs w:val="24"/>
        </w:rPr>
        <w:t>ne</w:t>
      </w:r>
      <w:r>
        <w:rPr>
          <w:rFonts w:asciiTheme="minorHAnsi" w:hAnsiTheme="minorHAnsi"/>
          <w:sz w:val="24"/>
          <w:szCs w:val="24"/>
        </w:rPr>
        <w:t xml:space="preserve">pomembno, da v posameznem letu dosežena realizacija glede na plan ni dosegla niti 50% predvidene. </w:t>
      </w:r>
      <w:r w:rsidR="00F13B9D">
        <w:rPr>
          <w:rFonts w:asciiTheme="minorHAnsi" w:hAnsiTheme="minorHAnsi"/>
          <w:sz w:val="24"/>
          <w:szCs w:val="24"/>
        </w:rPr>
        <w:t>Zanimivo je, da</w:t>
      </w:r>
      <w:r w:rsidR="00DF5B98">
        <w:rPr>
          <w:rFonts w:asciiTheme="minorHAnsi" w:hAnsiTheme="minorHAnsi"/>
          <w:sz w:val="24"/>
          <w:szCs w:val="24"/>
        </w:rPr>
        <w:t xml:space="preserve"> ta tematika ni bila nikoli </w:t>
      </w:r>
      <w:r w:rsidR="004E0E4B">
        <w:rPr>
          <w:rFonts w:asciiTheme="minorHAnsi" w:hAnsiTheme="minorHAnsi"/>
          <w:sz w:val="24"/>
          <w:szCs w:val="24"/>
        </w:rPr>
        <w:t xml:space="preserve">niti </w:t>
      </w:r>
      <w:r w:rsidR="00DF5B98">
        <w:rPr>
          <w:rFonts w:asciiTheme="minorHAnsi" w:hAnsiTheme="minorHAnsi"/>
          <w:sz w:val="24"/>
          <w:szCs w:val="24"/>
        </w:rPr>
        <w:t>problematizirana!</w:t>
      </w:r>
    </w:p>
    <w:p w:rsidR="004E7227" w:rsidRDefault="00F13B9D" w:rsidP="0088713A">
      <w:pPr>
        <w:spacing w:after="60"/>
        <w:ind w:right="-567"/>
        <w:jc w:val="both"/>
        <w:rPr>
          <w:rFonts w:asciiTheme="minorHAnsi" w:hAnsiTheme="minorHAnsi"/>
          <w:sz w:val="24"/>
          <w:szCs w:val="24"/>
        </w:rPr>
      </w:pPr>
      <w:r>
        <w:rPr>
          <w:rFonts w:asciiTheme="minorHAnsi" w:hAnsiTheme="minorHAnsi"/>
          <w:sz w:val="24"/>
          <w:szCs w:val="24"/>
        </w:rPr>
        <w:t>Iz primerjav z</w:t>
      </w:r>
      <w:r w:rsidR="004E7227">
        <w:rPr>
          <w:rFonts w:asciiTheme="minorHAnsi" w:hAnsiTheme="minorHAnsi"/>
          <w:sz w:val="24"/>
          <w:szCs w:val="24"/>
        </w:rPr>
        <w:t xml:space="preserve"> A</w:t>
      </w:r>
      <w:r>
        <w:rPr>
          <w:rFonts w:asciiTheme="minorHAnsi" w:hAnsiTheme="minorHAnsi"/>
          <w:sz w:val="24"/>
          <w:szCs w:val="24"/>
        </w:rPr>
        <w:t>vstrijo oz.</w:t>
      </w:r>
      <w:r w:rsidR="004E7227">
        <w:rPr>
          <w:rFonts w:asciiTheme="minorHAnsi" w:hAnsiTheme="minorHAnsi"/>
          <w:sz w:val="24"/>
          <w:szCs w:val="24"/>
        </w:rPr>
        <w:t xml:space="preserve"> Asfinagom je logični zaključek, da bi DARS lahko srednjeročno povečal investicijsko dejavnost na vsaj 250 mio EUR letno. S </w:t>
      </w:r>
      <w:r w:rsidR="00DF5B98">
        <w:rPr>
          <w:rFonts w:asciiTheme="minorHAnsi" w:hAnsiTheme="minorHAnsi"/>
          <w:sz w:val="24"/>
          <w:szCs w:val="24"/>
        </w:rPr>
        <w:t>tem bi</w:t>
      </w:r>
      <w:r w:rsidR="004E7227">
        <w:rPr>
          <w:rFonts w:asciiTheme="minorHAnsi" w:hAnsiTheme="minorHAnsi"/>
          <w:sz w:val="24"/>
          <w:szCs w:val="24"/>
        </w:rPr>
        <w:t xml:space="preserve"> </w:t>
      </w:r>
      <w:r w:rsidR="004E0E4B">
        <w:rPr>
          <w:rFonts w:asciiTheme="minorHAnsi" w:hAnsiTheme="minorHAnsi"/>
          <w:sz w:val="24"/>
          <w:szCs w:val="24"/>
        </w:rPr>
        <w:t>v precejšnji meri</w:t>
      </w:r>
      <w:r w:rsidR="004E7227">
        <w:rPr>
          <w:rFonts w:asciiTheme="minorHAnsi" w:hAnsiTheme="minorHAnsi"/>
          <w:sz w:val="24"/>
          <w:szCs w:val="24"/>
        </w:rPr>
        <w:t xml:space="preserve"> ublažili znižanje sredstev v proračunu MzI.</w:t>
      </w:r>
    </w:p>
    <w:p w:rsidR="00DF5B98" w:rsidRDefault="00DF5B98" w:rsidP="00DF5B98">
      <w:pPr>
        <w:spacing w:after="60"/>
        <w:ind w:right="-567"/>
        <w:jc w:val="both"/>
        <w:rPr>
          <w:rFonts w:asciiTheme="minorHAnsi" w:hAnsiTheme="minorHAnsi"/>
          <w:sz w:val="24"/>
          <w:szCs w:val="24"/>
        </w:rPr>
      </w:pPr>
    </w:p>
    <w:p w:rsidR="00C35FC4" w:rsidRPr="00DF5B98" w:rsidRDefault="00C35FC4" w:rsidP="00DF5B98">
      <w:pPr>
        <w:spacing w:after="60"/>
        <w:ind w:right="-567"/>
        <w:jc w:val="both"/>
        <w:rPr>
          <w:rFonts w:asciiTheme="minorHAnsi" w:hAnsiTheme="minorHAnsi"/>
          <w:sz w:val="24"/>
          <w:szCs w:val="24"/>
        </w:rPr>
      </w:pPr>
      <w:r w:rsidRPr="00DF5B98">
        <w:rPr>
          <w:rFonts w:asciiTheme="minorHAnsi" w:hAnsiTheme="minorHAnsi"/>
          <w:b/>
          <w:sz w:val="24"/>
          <w:szCs w:val="24"/>
        </w:rPr>
        <w:t>Kako naprej in perspektive?</w:t>
      </w:r>
    </w:p>
    <w:p w:rsidR="00C35FC4" w:rsidRDefault="00C35FC4" w:rsidP="0088713A">
      <w:pPr>
        <w:spacing w:after="60"/>
        <w:ind w:right="-567"/>
        <w:jc w:val="both"/>
        <w:rPr>
          <w:rFonts w:asciiTheme="minorHAnsi" w:hAnsiTheme="minorHAnsi"/>
          <w:sz w:val="24"/>
          <w:szCs w:val="24"/>
        </w:rPr>
      </w:pPr>
    </w:p>
    <w:p w:rsidR="00DF5B98" w:rsidRDefault="00C35FC4" w:rsidP="0088713A">
      <w:pPr>
        <w:spacing w:after="60"/>
        <w:ind w:right="-567"/>
        <w:jc w:val="both"/>
        <w:rPr>
          <w:rFonts w:asciiTheme="minorHAnsi" w:hAnsiTheme="minorHAnsi"/>
          <w:sz w:val="24"/>
          <w:szCs w:val="24"/>
        </w:rPr>
      </w:pPr>
      <w:r w:rsidRPr="00DA4455">
        <w:rPr>
          <w:rFonts w:asciiTheme="minorHAnsi" w:hAnsiTheme="minorHAnsi"/>
          <w:sz w:val="24"/>
          <w:szCs w:val="24"/>
        </w:rPr>
        <w:t xml:space="preserve">V juliju 2015 je bila sprejeta strategija razvoja prometa v Sloveniji. Strategija podaja načelne usmeritve vzdrževanja in razvoja prometnega sistema v državi. </w:t>
      </w:r>
    </w:p>
    <w:p w:rsidR="00DF5B98" w:rsidRDefault="00DF5B98" w:rsidP="0088713A">
      <w:pPr>
        <w:spacing w:after="60"/>
        <w:ind w:right="-567"/>
        <w:jc w:val="both"/>
        <w:rPr>
          <w:rFonts w:asciiTheme="minorHAnsi" w:hAnsiTheme="minorHAnsi"/>
          <w:sz w:val="24"/>
          <w:szCs w:val="24"/>
        </w:rPr>
      </w:pPr>
      <w:r>
        <w:rPr>
          <w:rFonts w:asciiTheme="minorHAnsi" w:hAnsiTheme="minorHAnsi"/>
          <w:sz w:val="24"/>
          <w:szCs w:val="24"/>
        </w:rPr>
        <w:t xml:space="preserve">MzI in DRI upravljanje investicij, d.o.o. sta pripravila predlog operativnega načrta, ki predlog strategije podrobno opredeljuje. Osnovni cilj, ki ga zasleduje operativni načrt, je okolju prijazen promet in maksimalna izkoriščenost obstoječe infrastrukture. </w:t>
      </w:r>
    </w:p>
    <w:p w:rsidR="00DF5B98" w:rsidRDefault="00DF5B98" w:rsidP="0088713A">
      <w:pPr>
        <w:spacing w:after="60"/>
        <w:ind w:right="-567"/>
        <w:jc w:val="both"/>
        <w:rPr>
          <w:rFonts w:asciiTheme="minorHAnsi" w:hAnsiTheme="minorHAnsi"/>
          <w:sz w:val="24"/>
          <w:szCs w:val="24"/>
        </w:rPr>
      </w:pPr>
      <w:r>
        <w:rPr>
          <w:rFonts w:asciiTheme="minorHAnsi" w:hAnsiTheme="minorHAnsi"/>
          <w:sz w:val="24"/>
          <w:szCs w:val="24"/>
        </w:rPr>
        <w:t xml:space="preserve">Na teh temeljih so zasnovani potrebni ukrepi, kjer je največ potreb na cestah 34% (37 ukrepov od potrebnih 108), </w:t>
      </w:r>
      <w:r w:rsidR="009574F4">
        <w:rPr>
          <w:rFonts w:asciiTheme="minorHAnsi" w:hAnsiTheme="minorHAnsi"/>
          <w:sz w:val="24"/>
          <w:szCs w:val="24"/>
        </w:rPr>
        <w:t xml:space="preserve">na </w:t>
      </w:r>
      <w:r w:rsidR="00DF3F82">
        <w:rPr>
          <w:rFonts w:asciiTheme="minorHAnsi" w:hAnsiTheme="minorHAnsi"/>
          <w:sz w:val="24"/>
          <w:szCs w:val="24"/>
        </w:rPr>
        <w:t>železnicah 27</w:t>
      </w:r>
      <w:r>
        <w:rPr>
          <w:rFonts w:asciiTheme="minorHAnsi" w:hAnsiTheme="minorHAnsi"/>
          <w:sz w:val="24"/>
          <w:szCs w:val="24"/>
        </w:rPr>
        <w:t>% in na trajnostni mobilnosti 20% ukrepov.</w:t>
      </w:r>
      <w:r w:rsidR="009574F4">
        <w:rPr>
          <w:rFonts w:asciiTheme="minorHAnsi" w:hAnsiTheme="minorHAnsi"/>
          <w:sz w:val="24"/>
          <w:szCs w:val="24"/>
        </w:rPr>
        <w:t xml:space="preserve"> Operativni načrt v izhodišču predvideva med 700 in 800 mio EUR investicijskih sredstev za prometno infrastrukturo</w:t>
      </w:r>
      <w:r w:rsidR="00DF3F82">
        <w:rPr>
          <w:rFonts w:asciiTheme="minorHAnsi" w:hAnsiTheme="minorHAnsi"/>
          <w:sz w:val="24"/>
          <w:szCs w:val="24"/>
        </w:rPr>
        <w:t xml:space="preserve"> letno</w:t>
      </w:r>
      <w:r w:rsidR="009574F4">
        <w:rPr>
          <w:rFonts w:asciiTheme="minorHAnsi" w:hAnsiTheme="minorHAnsi"/>
          <w:sz w:val="24"/>
          <w:szCs w:val="24"/>
        </w:rPr>
        <w:t>, ki bi jih morali zagotoviti za obdobje 2016 – 2022. Navedeno pomeni skupaj med 5 in 6 mrd EUR.</w:t>
      </w:r>
    </w:p>
    <w:p w:rsidR="009574F4" w:rsidRDefault="009574F4" w:rsidP="0088713A">
      <w:pPr>
        <w:spacing w:after="60"/>
        <w:ind w:right="-567"/>
        <w:jc w:val="both"/>
        <w:rPr>
          <w:rFonts w:asciiTheme="minorHAnsi" w:hAnsiTheme="minorHAnsi"/>
          <w:sz w:val="24"/>
          <w:szCs w:val="24"/>
        </w:rPr>
      </w:pPr>
    </w:p>
    <w:p w:rsidR="00C35FC4" w:rsidRDefault="009574F4" w:rsidP="009574F4">
      <w:pPr>
        <w:spacing w:after="60"/>
        <w:ind w:right="-567"/>
        <w:jc w:val="both"/>
        <w:rPr>
          <w:rFonts w:asciiTheme="minorHAnsi" w:hAnsiTheme="minorHAnsi"/>
          <w:sz w:val="24"/>
          <w:szCs w:val="24"/>
        </w:rPr>
      </w:pPr>
      <w:r>
        <w:rPr>
          <w:rFonts w:asciiTheme="minorHAnsi" w:hAnsiTheme="minorHAnsi"/>
          <w:sz w:val="24"/>
          <w:szCs w:val="24"/>
        </w:rPr>
        <w:t>Da bi zagotovili takšen investicijski potencial</w:t>
      </w:r>
      <w:r w:rsidR="00F13B9D">
        <w:rPr>
          <w:rFonts w:asciiTheme="minorHAnsi" w:hAnsiTheme="minorHAnsi"/>
          <w:sz w:val="24"/>
          <w:szCs w:val="24"/>
        </w:rPr>
        <w:t>,</w:t>
      </w:r>
      <w:r>
        <w:rPr>
          <w:rFonts w:asciiTheme="minorHAnsi" w:hAnsiTheme="minorHAnsi"/>
          <w:sz w:val="24"/>
          <w:szCs w:val="24"/>
        </w:rPr>
        <w:t xml:space="preserve"> je potrebna </w:t>
      </w:r>
      <w:r w:rsidR="00B641B7" w:rsidRPr="009574F4">
        <w:rPr>
          <w:rFonts w:asciiTheme="minorHAnsi" w:hAnsiTheme="minorHAnsi"/>
          <w:sz w:val="24"/>
          <w:szCs w:val="24"/>
        </w:rPr>
        <w:t>g</w:t>
      </w:r>
      <w:r w:rsidR="00C35FC4" w:rsidRPr="009574F4">
        <w:rPr>
          <w:rFonts w:asciiTheme="minorHAnsi" w:hAnsiTheme="minorHAnsi"/>
          <w:sz w:val="24"/>
          <w:szCs w:val="24"/>
        </w:rPr>
        <w:t xml:space="preserve">eneralna usmeritev o virih financiranja. Ta usmeritev bi morala opredeliti deleže posameznih finančnih virov kot so proračunska sredstva, EU sredstva, zasebna vlaganja in ostalo. </w:t>
      </w:r>
      <w:r>
        <w:rPr>
          <w:rFonts w:asciiTheme="minorHAnsi" w:hAnsiTheme="minorHAnsi"/>
          <w:sz w:val="24"/>
          <w:szCs w:val="24"/>
        </w:rPr>
        <w:t>Operativni načrt mora</w:t>
      </w:r>
      <w:r w:rsidR="00C35FC4" w:rsidRPr="009574F4">
        <w:rPr>
          <w:rFonts w:asciiTheme="minorHAnsi" w:hAnsiTheme="minorHAnsi"/>
          <w:sz w:val="24"/>
          <w:szCs w:val="24"/>
        </w:rPr>
        <w:t xml:space="preserve"> tudi opredeliti</w:t>
      </w:r>
      <w:r w:rsidR="00F13B9D">
        <w:rPr>
          <w:rFonts w:asciiTheme="minorHAnsi" w:hAnsiTheme="minorHAnsi"/>
          <w:sz w:val="24"/>
          <w:szCs w:val="24"/>
        </w:rPr>
        <w:t>,</w:t>
      </w:r>
      <w:r w:rsidR="00C35FC4" w:rsidRPr="009574F4">
        <w:rPr>
          <w:rFonts w:asciiTheme="minorHAnsi" w:hAnsiTheme="minorHAnsi"/>
          <w:sz w:val="24"/>
          <w:szCs w:val="24"/>
        </w:rPr>
        <w:t xml:space="preserve"> katera vlaganja so primernejša za</w:t>
      </w:r>
      <w:r w:rsidR="00F13B9D">
        <w:rPr>
          <w:rFonts w:asciiTheme="minorHAnsi" w:hAnsiTheme="minorHAnsi"/>
          <w:sz w:val="24"/>
          <w:szCs w:val="24"/>
        </w:rPr>
        <w:t xml:space="preserve"> posamezen finančni vir, oz. mora</w:t>
      </w:r>
      <w:r w:rsidR="00C35FC4" w:rsidRPr="009574F4">
        <w:rPr>
          <w:rFonts w:asciiTheme="minorHAnsi" w:hAnsiTheme="minorHAnsi"/>
          <w:sz w:val="24"/>
          <w:szCs w:val="24"/>
        </w:rPr>
        <w:t xml:space="preserve"> dati usmeritev za pridobivanje finančnih virov. Predvsem je pomembna opredelitev do možnosti javno-zasebnega partnerstva pri vlaganjih v prometno infrastrukturo.</w:t>
      </w:r>
    </w:p>
    <w:p w:rsidR="009574F4" w:rsidRDefault="009574F4" w:rsidP="009574F4">
      <w:pPr>
        <w:spacing w:after="60"/>
        <w:ind w:right="-567"/>
        <w:jc w:val="both"/>
        <w:rPr>
          <w:rFonts w:asciiTheme="minorHAnsi" w:hAnsiTheme="minorHAnsi"/>
          <w:sz w:val="24"/>
          <w:szCs w:val="24"/>
        </w:rPr>
      </w:pPr>
    </w:p>
    <w:p w:rsidR="004E0E4B" w:rsidRDefault="004E0E4B" w:rsidP="009574F4">
      <w:pPr>
        <w:spacing w:after="60"/>
        <w:ind w:right="-567"/>
        <w:jc w:val="both"/>
        <w:rPr>
          <w:rFonts w:asciiTheme="minorHAnsi" w:hAnsiTheme="minorHAnsi"/>
          <w:sz w:val="24"/>
          <w:szCs w:val="24"/>
        </w:rPr>
      </w:pPr>
      <w:r>
        <w:rPr>
          <w:rFonts w:asciiTheme="minorHAnsi" w:hAnsiTheme="minorHAnsi"/>
          <w:sz w:val="24"/>
          <w:szCs w:val="24"/>
        </w:rPr>
        <w:t>Pred uveljavitvijo operativnega načrta je potrebno razrešiti čim več dilem na projektih in aktivnostih in sicer:</w:t>
      </w:r>
    </w:p>
    <w:p w:rsidR="004E0E4B" w:rsidRPr="009574F4" w:rsidRDefault="004E0E4B" w:rsidP="009574F4">
      <w:pPr>
        <w:spacing w:after="60"/>
        <w:ind w:right="-567"/>
        <w:jc w:val="both"/>
        <w:rPr>
          <w:rFonts w:asciiTheme="minorHAnsi" w:hAnsiTheme="minorHAnsi"/>
          <w:sz w:val="24"/>
          <w:szCs w:val="24"/>
        </w:rPr>
      </w:pPr>
    </w:p>
    <w:p w:rsidR="00225B14" w:rsidRPr="00815904" w:rsidRDefault="00225B14" w:rsidP="0088713A">
      <w:pPr>
        <w:pStyle w:val="Odstavekseznama"/>
        <w:numPr>
          <w:ilvl w:val="0"/>
          <w:numId w:val="3"/>
        </w:numPr>
        <w:spacing w:after="60"/>
        <w:ind w:right="-567"/>
        <w:jc w:val="both"/>
        <w:rPr>
          <w:rFonts w:asciiTheme="minorHAnsi" w:hAnsiTheme="minorHAnsi"/>
          <w:sz w:val="24"/>
          <w:szCs w:val="24"/>
        </w:rPr>
      </w:pPr>
      <w:r w:rsidRPr="00815904">
        <w:rPr>
          <w:rFonts w:asciiTheme="minorHAnsi" w:hAnsiTheme="minorHAnsi"/>
          <w:sz w:val="24"/>
          <w:szCs w:val="24"/>
        </w:rPr>
        <w:t>Poleg gradnje II. tira Divača - Koper, ki bi ga bilo potrebno racionalizirati, moramo na železnicah postoriti še marsikaj drugega. To je predvsem  modernizacija celotnega sistema, zagotovitev dvotirnosti na glavnih progah, ureditev primestnega prometa in ne nazadnje ureditev ljubljanskega železniškega vozlišča.</w:t>
      </w:r>
    </w:p>
    <w:p w:rsidR="00CC5829" w:rsidRPr="00815904" w:rsidRDefault="00CC5829" w:rsidP="0088713A">
      <w:pPr>
        <w:pStyle w:val="Odstavekseznama"/>
        <w:numPr>
          <w:ilvl w:val="0"/>
          <w:numId w:val="3"/>
        </w:numPr>
        <w:spacing w:after="60"/>
        <w:ind w:right="-567"/>
        <w:jc w:val="both"/>
        <w:rPr>
          <w:rFonts w:asciiTheme="minorHAnsi" w:hAnsiTheme="minorHAnsi"/>
          <w:sz w:val="24"/>
          <w:szCs w:val="24"/>
        </w:rPr>
      </w:pPr>
      <w:r w:rsidRPr="00815904">
        <w:rPr>
          <w:rFonts w:asciiTheme="minorHAnsi" w:hAnsiTheme="minorHAnsi"/>
          <w:sz w:val="24"/>
          <w:szCs w:val="24"/>
        </w:rPr>
        <w:t xml:space="preserve">Z razvojnimi projekti, ki so opredeljeni, je potrebno takoj štartati. Poleg AC Draženci – Gruškovje, ki je v gradnji, </w:t>
      </w:r>
      <w:r w:rsidR="004E0E4B">
        <w:rPr>
          <w:rFonts w:asciiTheme="minorHAnsi" w:hAnsiTheme="minorHAnsi"/>
          <w:sz w:val="24"/>
          <w:szCs w:val="24"/>
        </w:rPr>
        <w:t xml:space="preserve">gre </w:t>
      </w:r>
      <w:r w:rsidRPr="00815904">
        <w:rPr>
          <w:rFonts w:asciiTheme="minorHAnsi" w:hAnsiTheme="minorHAnsi"/>
          <w:sz w:val="24"/>
          <w:szCs w:val="24"/>
        </w:rPr>
        <w:t xml:space="preserve">pospešiti priprave na </w:t>
      </w:r>
      <w:r w:rsidR="004E0E4B">
        <w:rPr>
          <w:rFonts w:asciiTheme="minorHAnsi" w:hAnsiTheme="minorHAnsi"/>
          <w:sz w:val="24"/>
          <w:szCs w:val="24"/>
        </w:rPr>
        <w:t>2. cevi predora</w:t>
      </w:r>
      <w:r w:rsidRPr="00815904">
        <w:rPr>
          <w:rFonts w:asciiTheme="minorHAnsi" w:hAnsiTheme="minorHAnsi"/>
          <w:sz w:val="24"/>
          <w:szCs w:val="24"/>
        </w:rPr>
        <w:t xml:space="preserve"> Karavanke, </w:t>
      </w:r>
      <w:r w:rsidR="004E0E4B">
        <w:rPr>
          <w:rFonts w:asciiTheme="minorHAnsi" w:hAnsiTheme="minorHAnsi"/>
          <w:sz w:val="24"/>
          <w:szCs w:val="24"/>
        </w:rPr>
        <w:t xml:space="preserve">na </w:t>
      </w:r>
      <w:r w:rsidRPr="00815904">
        <w:rPr>
          <w:rFonts w:asciiTheme="minorHAnsi" w:hAnsiTheme="minorHAnsi"/>
          <w:sz w:val="24"/>
          <w:szCs w:val="24"/>
        </w:rPr>
        <w:t xml:space="preserve">AC Jagodje – Lucija in </w:t>
      </w:r>
      <w:r w:rsidR="009574F4">
        <w:rPr>
          <w:rFonts w:asciiTheme="minorHAnsi" w:hAnsiTheme="minorHAnsi"/>
          <w:sz w:val="24"/>
          <w:szCs w:val="24"/>
        </w:rPr>
        <w:t xml:space="preserve">opredeliti </w:t>
      </w:r>
      <w:r w:rsidRPr="00815904">
        <w:rPr>
          <w:rFonts w:asciiTheme="minorHAnsi" w:hAnsiTheme="minorHAnsi"/>
          <w:sz w:val="24"/>
          <w:szCs w:val="24"/>
        </w:rPr>
        <w:t xml:space="preserve"> </w:t>
      </w:r>
      <w:r w:rsidR="005F3518">
        <w:rPr>
          <w:rFonts w:asciiTheme="minorHAnsi" w:hAnsiTheme="minorHAnsi"/>
          <w:sz w:val="24"/>
          <w:szCs w:val="24"/>
        </w:rPr>
        <w:t xml:space="preserve">gradnje na </w:t>
      </w:r>
      <w:r w:rsidR="00DF3F82">
        <w:rPr>
          <w:rFonts w:asciiTheme="minorHAnsi" w:hAnsiTheme="minorHAnsi"/>
          <w:sz w:val="24"/>
          <w:szCs w:val="24"/>
        </w:rPr>
        <w:t>3.</w:t>
      </w:r>
      <w:r w:rsidR="004E0E4B">
        <w:rPr>
          <w:rFonts w:asciiTheme="minorHAnsi" w:hAnsiTheme="minorHAnsi"/>
          <w:sz w:val="24"/>
          <w:szCs w:val="24"/>
        </w:rPr>
        <w:t xml:space="preserve"> razvojnih oseh</w:t>
      </w:r>
      <w:r w:rsidRPr="00815904">
        <w:rPr>
          <w:rFonts w:asciiTheme="minorHAnsi" w:hAnsiTheme="minorHAnsi"/>
          <w:sz w:val="24"/>
          <w:szCs w:val="24"/>
        </w:rPr>
        <w:t>. Potrebno je zgraditi štiripasovnice do Velenja</w:t>
      </w:r>
      <w:r w:rsidR="004E0E4B">
        <w:rPr>
          <w:rFonts w:asciiTheme="minorHAnsi" w:hAnsiTheme="minorHAnsi"/>
          <w:sz w:val="24"/>
          <w:szCs w:val="24"/>
        </w:rPr>
        <w:t xml:space="preserve"> in mimo Novega mesta, v ostalih potezih pa zgraditi moderne dvopasovne ceste</w:t>
      </w:r>
      <w:r w:rsidRPr="00815904">
        <w:rPr>
          <w:rFonts w:asciiTheme="minorHAnsi" w:hAnsiTheme="minorHAnsi"/>
          <w:sz w:val="24"/>
          <w:szCs w:val="24"/>
        </w:rPr>
        <w:t>. Kjer je možno po obstoječi, sicer pa po novi trasi.</w:t>
      </w:r>
    </w:p>
    <w:p w:rsidR="00225B14" w:rsidRPr="00815904" w:rsidRDefault="00225B14" w:rsidP="0088713A">
      <w:pPr>
        <w:pStyle w:val="Odstavekseznama"/>
        <w:numPr>
          <w:ilvl w:val="0"/>
          <w:numId w:val="3"/>
        </w:numPr>
        <w:spacing w:after="60"/>
        <w:ind w:right="-567"/>
        <w:jc w:val="both"/>
        <w:rPr>
          <w:rFonts w:asciiTheme="minorHAnsi" w:hAnsiTheme="minorHAnsi"/>
          <w:sz w:val="24"/>
          <w:szCs w:val="24"/>
        </w:rPr>
      </w:pPr>
      <w:r w:rsidRPr="00815904">
        <w:rPr>
          <w:rFonts w:asciiTheme="minorHAnsi" w:hAnsiTheme="minorHAnsi"/>
          <w:sz w:val="24"/>
          <w:szCs w:val="24"/>
        </w:rPr>
        <w:t>Enako je z drugimi državnimi cestami, kjer so načrti pripravljeni</w:t>
      </w:r>
      <w:r w:rsidR="00F13B9D">
        <w:rPr>
          <w:rFonts w:asciiTheme="minorHAnsi" w:hAnsiTheme="minorHAnsi"/>
          <w:sz w:val="24"/>
          <w:szCs w:val="24"/>
        </w:rPr>
        <w:t xml:space="preserve"> in čakajo na sredstva in realizacijo.</w:t>
      </w:r>
    </w:p>
    <w:p w:rsidR="00225B14" w:rsidRPr="00815904" w:rsidRDefault="00D16230" w:rsidP="0088713A">
      <w:pPr>
        <w:pStyle w:val="Odstavekseznama"/>
        <w:numPr>
          <w:ilvl w:val="0"/>
          <w:numId w:val="3"/>
        </w:numPr>
        <w:spacing w:after="60"/>
        <w:ind w:right="-567"/>
        <w:jc w:val="both"/>
        <w:rPr>
          <w:rFonts w:asciiTheme="minorHAnsi" w:hAnsiTheme="minorHAnsi"/>
          <w:sz w:val="24"/>
          <w:szCs w:val="24"/>
        </w:rPr>
      </w:pPr>
      <w:r w:rsidRPr="00815904">
        <w:rPr>
          <w:rFonts w:asciiTheme="minorHAnsi" w:hAnsiTheme="minorHAnsi"/>
          <w:sz w:val="24"/>
          <w:szCs w:val="24"/>
        </w:rPr>
        <w:t>Nova oblast je veliko obljubljala pri vzdrževanju obstoječe prometne infrastrukture. Pri vlaganjih v obnove in vzdrževanju zaostajamo pri vseh infrastrukturnih sektorjih (železnice, avtoceste, državne ceste). Zaostanki nujnega vzdrževanja in obnavljanja se vsako leto povečujejo. To je treba takoj prekiniti in začeti intenzivno vlagati v ohranjanje tega dragocenega bogastva države!</w:t>
      </w:r>
    </w:p>
    <w:p w:rsidR="00C35FC4" w:rsidRPr="00815904" w:rsidRDefault="00C35FC4" w:rsidP="0088713A">
      <w:pPr>
        <w:pStyle w:val="Odstavekseznama"/>
        <w:numPr>
          <w:ilvl w:val="0"/>
          <w:numId w:val="3"/>
        </w:numPr>
        <w:spacing w:after="60"/>
        <w:ind w:right="-567"/>
        <w:jc w:val="both"/>
        <w:rPr>
          <w:rFonts w:asciiTheme="minorHAnsi" w:hAnsiTheme="minorHAnsi"/>
          <w:sz w:val="24"/>
          <w:szCs w:val="24"/>
        </w:rPr>
      </w:pPr>
      <w:r w:rsidRPr="00815904">
        <w:rPr>
          <w:rFonts w:asciiTheme="minorHAnsi" w:hAnsiTheme="minorHAnsi"/>
          <w:sz w:val="24"/>
          <w:szCs w:val="24"/>
        </w:rPr>
        <w:t xml:space="preserve">Cilj Slovenije mora biti poleg izgradnje moderne prometne infrastrukture tudi maksimalno plemenitenje pri pripravi, skladiščenju in prevozu tovora in ljudi. Ob modernizaciji prometnih sistemov je potrebno izdelati načrt vzpostavitve logističnih centrov, ki bi poleg nadgradnje </w:t>
      </w:r>
      <w:r w:rsidRPr="00815904">
        <w:rPr>
          <w:rFonts w:asciiTheme="minorHAnsi" w:hAnsiTheme="minorHAnsi"/>
          <w:sz w:val="24"/>
          <w:szCs w:val="24"/>
        </w:rPr>
        <w:lastRenderedPageBreak/>
        <w:t>obstoječih (Koper, Brnik, Ljubljana) moral predvideti še vsaj  Logistični center Maribor.</w:t>
      </w:r>
      <w:r w:rsidR="00950B4D" w:rsidRPr="00815904">
        <w:rPr>
          <w:rFonts w:asciiTheme="minorHAnsi" w:hAnsiTheme="minorHAnsi"/>
          <w:sz w:val="24"/>
          <w:szCs w:val="24"/>
        </w:rPr>
        <w:t xml:space="preserve"> Ko bodo ustvarjeni pogoji</w:t>
      </w:r>
      <w:r w:rsidR="005F3518">
        <w:rPr>
          <w:rFonts w:asciiTheme="minorHAnsi" w:hAnsiTheme="minorHAnsi"/>
          <w:sz w:val="24"/>
          <w:szCs w:val="24"/>
        </w:rPr>
        <w:t>,</w:t>
      </w:r>
      <w:r w:rsidR="00950B4D" w:rsidRPr="00815904">
        <w:rPr>
          <w:rFonts w:asciiTheme="minorHAnsi" w:hAnsiTheme="minorHAnsi"/>
          <w:sz w:val="24"/>
          <w:szCs w:val="24"/>
        </w:rPr>
        <w:t xml:space="preserve"> bo prišel tudi zasebni kapital, vendar prvi korak mora narediti država.</w:t>
      </w:r>
    </w:p>
    <w:p w:rsidR="00C35FC4" w:rsidRDefault="002537F4" w:rsidP="0088713A">
      <w:pPr>
        <w:pStyle w:val="Odstavekseznama"/>
        <w:numPr>
          <w:ilvl w:val="0"/>
          <w:numId w:val="3"/>
        </w:numPr>
        <w:spacing w:after="60"/>
        <w:ind w:right="-567"/>
        <w:jc w:val="both"/>
        <w:rPr>
          <w:rFonts w:asciiTheme="minorHAnsi" w:hAnsiTheme="minorHAnsi"/>
          <w:sz w:val="24"/>
          <w:szCs w:val="24"/>
        </w:rPr>
      </w:pPr>
      <w:r w:rsidRPr="00815904">
        <w:rPr>
          <w:rFonts w:asciiTheme="minorHAnsi" w:hAnsiTheme="minorHAnsi"/>
          <w:sz w:val="24"/>
          <w:szCs w:val="24"/>
        </w:rPr>
        <w:t xml:space="preserve">Stalno povečevanje prometne varnosti mora biti eden od najpomembnejših kriterijev pri načrtovanju. </w:t>
      </w:r>
      <w:r w:rsidR="00C35FC4" w:rsidRPr="00815904">
        <w:rPr>
          <w:rFonts w:asciiTheme="minorHAnsi" w:hAnsiTheme="minorHAnsi"/>
          <w:sz w:val="24"/>
          <w:szCs w:val="24"/>
        </w:rPr>
        <w:t>Pomemben element prometne varnosti bo opremljanje cest z inteligentnimi transportnimi sistemi</w:t>
      </w:r>
      <w:r w:rsidR="000C62E6" w:rsidRPr="00815904">
        <w:rPr>
          <w:rFonts w:asciiTheme="minorHAnsi" w:hAnsiTheme="minorHAnsi"/>
          <w:sz w:val="24"/>
          <w:szCs w:val="24"/>
        </w:rPr>
        <w:t>, bi morali</w:t>
      </w:r>
      <w:r w:rsidR="00C35FC4" w:rsidRPr="00815904">
        <w:rPr>
          <w:rFonts w:asciiTheme="minorHAnsi" w:hAnsiTheme="minorHAnsi"/>
          <w:sz w:val="24"/>
          <w:szCs w:val="24"/>
        </w:rPr>
        <w:t xml:space="preserve"> biti trajna usmeritev pri razvoju prometne infrastrukture. Ti sistemi bodo omogočali tako varnejše odvijanje prometa kot tudi odpravljanje zastojev, optimiziranje poti, manjšo porabo energije in manjše onesnaževanje okolja.</w:t>
      </w:r>
    </w:p>
    <w:p w:rsidR="005F3518" w:rsidRPr="005F3518" w:rsidRDefault="005F3518" w:rsidP="005F3518">
      <w:pPr>
        <w:spacing w:after="60"/>
        <w:ind w:right="-567"/>
        <w:jc w:val="both"/>
        <w:rPr>
          <w:rFonts w:asciiTheme="minorHAnsi" w:hAnsiTheme="minorHAnsi"/>
          <w:sz w:val="24"/>
          <w:szCs w:val="24"/>
        </w:rPr>
      </w:pPr>
    </w:p>
    <w:p w:rsidR="00C35FC4" w:rsidRDefault="005F3518" w:rsidP="005F3518">
      <w:pPr>
        <w:spacing w:after="60"/>
        <w:ind w:right="-567"/>
        <w:jc w:val="both"/>
        <w:rPr>
          <w:rFonts w:asciiTheme="minorHAnsi" w:hAnsiTheme="minorHAnsi"/>
          <w:sz w:val="24"/>
          <w:szCs w:val="24"/>
        </w:rPr>
      </w:pPr>
      <w:r>
        <w:rPr>
          <w:rFonts w:asciiTheme="minorHAnsi" w:hAnsiTheme="minorHAnsi"/>
          <w:sz w:val="24"/>
          <w:szCs w:val="24"/>
        </w:rPr>
        <w:t>Za opisane aktivnosti je treba z</w:t>
      </w:r>
      <w:r w:rsidR="00C35FC4" w:rsidRPr="005F3518">
        <w:rPr>
          <w:rFonts w:asciiTheme="minorHAnsi" w:hAnsiTheme="minorHAnsi"/>
          <w:sz w:val="24"/>
          <w:szCs w:val="24"/>
        </w:rPr>
        <w:t>elo jasno definirati nosilce posameznih nalog in določiti učinkovite organizacijske oblike</w:t>
      </w:r>
      <w:r w:rsidR="002537F4" w:rsidRPr="005F3518">
        <w:rPr>
          <w:rFonts w:asciiTheme="minorHAnsi" w:hAnsiTheme="minorHAnsi"/>
          <w:sz w:val="24"/>
          <w:szCs w:val="24"/>
        </w:rPr>
        <w:t>.</w:t>
      </w:r>
      <w:r w:rsidR="00C35FC4" w:rsidRPr="005F3518">
        <w:rPr>
          <w:rFonts w:asciiTheme="minorHAnsi" w:hAnsiTheme="minorHAnsi"/>
          <w:sz w:val="24"/>
          <w:szCs w:val="24"/>
        </w:rPr>
        <w:t xml:space="preserve"> </w:t>
      </w:r>
    </w:p>
    <w:p w:rsidR="005F3518" w:rsidRPr="005F3518" w:rsidRDefault="005F3518" w:rsidP="005F3518">
      <w:pPr>
        <w:spacing w:after="60"/>
        <w:ind w:right="-567"/>
        <w:jc w:val="both"/>
        <w:rPr>
          <w:rFonts w:asciiTheme="minorHAnsi" w:hAnsiTheme="minorHAnsi"/>
          <w:sz w:val="24"/>
          <w:szCs w:val="24"/>
        </w:rPr>
      </w:pPr>
    </w:p>
    <w:p w:rsidR="00C35FC4" w:rsidRPr="009574F4" w:rsidRDefault="00C35FC4" w:rsidP="009574F4">
      <w:pPr>
        <w:spacing w:after="60"/>
        <w:ind w:right="-567"/>
        <w:jc w:val="both"/>
        <w:rPr>
          <w:rFonts w:asciiTheme="minorHAnsi" w:hAnsiTheme="minorHAnsi"/>
          <w:sz w:val="24"/>
          <w:szCs w:val="24"/>
        </w:rPr>
      </w:pPr>
      <w:r w:rsidRPr="009574F4">
        <w:rPr>
          <w:rFonts w:asciiTheme="minorHAnsi" w:hAnsiTheme="minorHAnsi"/>
          <w:b/>
          <w:sz w:val="24"/>
          <w:szCs w:val="24"/>
        </w:rPr>
        <w:t>Zaključek in predlogi</w:t>
      </w:r>
    </w:p>
    <w:p w:rsidR="005F3518" w:rsidRDefault="005F3518" w:rsidP="005F3518">
      <w:pPr>
        <w:spacing w:after="60"/>
        <w:ind w:right="-567"/>
        <w:jc w:val="both"/>
        <w:rPr>
          <w:rFonts w:asciiTheme="minorHAnsi" w:hAnsiTheme="minorHAnsi"/>
          <w:sz w:val="24"/>
          <w:szCs w:val="24"/>
        </w:rPr>
      </w:pPr>
    </w:p>
    <w:p w:rsidR="005F3518" w:rsidRDefault="005F3518" w:rsidP="005F3518">
      <w:pPr>
        <w:spacing w:after="60"/>
        <w:ind w:right="-567"/>
        <w:jc w:val="both"/>
        <w:rPr>
          <w:rFonts w:asciiTheme="minorHAnsi" w:hAnsiTheme="minorHAnsi"/>
          <w:sz w:val="24"/>
          <w:szCs w:val="24"/>
        </w:rPr>
      </w:pPr>
      <w:r>
        <w:rPr>
          <w:rFonts w:asciiTheme="minorHAnsi" w:hAnsiTheme="minorHAnsi"/>
          <w:sz w:val="24"/>
          <w:szCs w:val="24"/>
        </w:rPr>
        <w:t xml:space="preserve">V zadnjih letih je bilo na eni strani veliko zamujenega, na drugi strani nam je uspelo izdelati Prometno strategijo in zasnovati operativni program. V oba dokumenta je bilo sicer vloženo veliko energije, vendar </w:t>
      </w:r>
      <w:r w:rsidR="00F13B9D">
        <w:rPr>
          <w:rFonts w:asciiTheme="minorHAnsi" w:hAnsiTheme="minorHAnsi"/>
          <w:sz w:val="24"/>
          <w:szCs w:val="24"/>
        </w:rPr>
        <w:t xml:space="preserve">brez zaključka </w:t>
      </w:r>
      <w:r w:rsidR="004E0E4B">
        <w:rPr>
          <w:rFonts w:asciiTheme="minorHAnsi" w:hAnsiTheme="minorHAnsi"/>
          <w:sz w:val="24"/>
          <w:szCs w:val="24"/>
        </w:rPr>
        <w:t>operativnega programa</w:t>
      </w:r>
      <w:r w:rsidR="00F13B9D">
        <w:rPr>
          <w:rFonts w:asciiTheme="minorHAnsi" w:hAnsiTheme="minorHAnsi"/>
          <w:sz w:val="24"/>
          <w:szCs w:val="24"/>
        </w:rPr>
        <w:t xml:space="preserve"> ne bo </w:t>
      </w:r>
      <w:r w:rsidR="004E0E4B">
        <w:rPr>
          <w:rFonts w:asciiTheme="minorHAnsi" w:hAnsiTheme="minorHAnsi"/>
          <w:sz w:val="24"/>
          <w:szCs w:val="24"/>
        </w:rPr>
        <w:t>začrtane smeri v naprej.</w:t>
      </w:r>
      <w:r>
        <w:rPr>
          <w:rFonts w:asciiTheme="minorHAnsi" w:hAnsiTheme="minorHAnsi"/>
          <w:sz w:val="24"/>
          <w:szCs w:val="24"/>
        </w:rPr>
        <w:t xml:space="preserve"> </w:t>
      </w:r>
    </w:p>
    <w:p w:rsidR="005F3518" w:rsidRDefault="005F3518" w:rsidP="005F3518">
      <w:pPr>
        <w:spacing w:after="60"/>
        <w:ind w:right="-567"/>
        <w:jc w:val="both"/>
        <w:rPr>
          <w:rFonts w:asciiTheme="minorHAnsi" w:hAnsiTheme="minorHAnsi"/>
          <w:sz w:val="24"/>
          <w:szCs w:val="24"/>
        </w:rPr>
      </w:pPr>
      <w:r>
        <w:rPr>
          <w:rFonts w:asciiTheme="minorHAnsi" w:hAnsiTheme="minorHAnsi"/>
          <w:sz w:val="24"/>
          <w:szCs w:val="24"/>
        </w:rPr>
        <w:t xml:space="preserve">V ta namen predlagamo, da se </w:t>
      </w:r>
      <w:r w:rsidR="004E0E4B">
        <w:rPr>
          <w:rFonts w:asciiTheme="minorHAnsi" w:hAnsiTheme="minorHAnsi"/>
          <w:sz w:val="24"/>
          <w:szCs w:val="24"/>
        </w:rPr>
        <w:t>z velikim angažiranjem in v čim krajšem roku dokonča operativni program</w:t>
      </w:r>
      <w:r>
        <w:rPr>
          <w:rFonts w:asciiTheme="minorHAnsi" w:hAnsiTheme="minorHAnsi"/>
          <w:sz w:val="24"/>
          <w:szCs w:val="24"/>
        </w:rPr>
        <w:t xml:space="preserve"> in da se skupaj s pristojnimi Ministrstvi za finance, infrastrukturo in gospodarstvo opredeli manjkajoče dele, predvsem tiste, ki so vezani na financiranje. </w:t>
      </w:r>
    </w:p>
    <w:p w:rsidR="005F3518" w:rsidRDefault="005F3518" w:rsidP="005F3518">
      <w:pPr>
        <w:spacing w:after="60"/>
        <w:ind w:right="-567"/>
        <w:jc w:val="both"/>
        <w:rPr>
          <w:rFonts w:asciiTheme="minorHAnsi" w:hAnsiTheme="minorHAnsi"/>
          <w:sz w:val="24"/>
          <w:szCs w:val="24"/>
        </w:rPr>
      </w:pPr>
    </w:p>
    <w:p w:rsidR="005F3518" w:rsidRPr="005F3518" w:rsidRDefault="005F3518" w:rsidP="005F3518">
      <w:pPr>
        <w:spacing w:after="60"/>
        <w:ind w:right="-567"/>
        <w:jc w:val="both"/>
        <w:rPr>
          <w:rFonts w:asciiTheme="minorHAnsi" w:hAnsiTheme="minorHAnsi"/>
          <w:sz w:val="24"/>
          <w:szCs w:val="24"/>
        </w:rPr>
      </w:pPr>
      <w:r w:rsidRPr="005F3518">
        <w:rPr>
          <w:rFonts w:asciiTheme="minorHAnsi" w:hAnsiTheme="minorHAnsi"/>
          <w:sz w:val="24"/>
          <w:szCs w:val="24"/>
        </w:rPr>
        <w:t xml:space="preserve">Na </w:t>
      </w:r>
      <w:r>
        <w:rPr>
          <w:rFonts w:asciiTheme="minorHAnsi" w:hAnsiTheme="minorHAnsi"/>
          <w:sz w:val="24"/>
          <w:szCs w:val="24"/>
        </w:rPr>
        <w:t xml:space="preserve">tej osnovi je treba </w:t>
      </w:r>
      <w:r w:rsidRPr="005F3518">
        <w:rPr>
          <w:rFonts w:asciiTheme="minorHAnsi" w:hAnsiTheme="minorHAnsi"/>
          <w:sz w:val="24"/>
          <w:szCs w:val="24"/>
        </w:rPr>
        <w:t xml:space="preserve">pripraviti 5 ali 6 letne operativne </w:t>
      </w:r>
      <w:r>
        <w:rPr>
          <w:rFonts w:asciiTheme="minorHAnsi" w:hAnsiTheme="minorHAnsi"/>
          <w:sz w:val="24"/>
          <w:szCs w:val="24"/>
        </w:rPr>
        <w:t xml:space="preserve">(drsne) </w:t>
      </w:r>
      <w:r w:rsidRPr="005F3518">
        <w:rPr>
          <w:rFonts w:asciiTheme="minorHAnsi" w:hAnsiTheme="minorHAnsi"/>
          <w:sz w:val="24"/>
          <w:szCs w:val="24"/>
        </w:rPr>
        <w:t>programe ukrepov na posameznem infrastrukturnem sektorju</w:t>
      </w:r>
      <w:r w:rsidR="004E0E4B">
        <w:rPr>
          <w:rFonts w:asciiTheme="minorHAnsi" w:hAnsiTheme="minorHAnsi"/>
          <w:sz w:val="24"/>
          <w:szCs w:val="24"/>
        </w:rPr>
        <w:t>, s poudarkom na železnicah, avtocestah in državnih cestah</w:t>
      </w:r>
      <w:r w:rsidRPr="005F3518">
        <w:rPr>
          <w:rFonts w:asciiTheme="minorHAnsi" w:hAnsiTheme="minorHAnsi"/>
          <w:sz w:val="24"/>
          <w:szCs w:val="24"/>
        </w:rPr>
        <w:t xml:space="preserve">. V teh </w:t>
      </w:r>
      <w:r>
        <w:rPr>
          <w:rFonts w:asciiTheme="minorHAnsi" w:hAnsiTheme="minorHAnsi"/>
          <w:sz w:val="24"/>
          <w:szCs w:val="24"/>
        </w:rPr>
        <w:t>programih mora</w:t>
      </w:r>
      <w:r w:rsidRPr="005F3518">
        <w:rPr>
          <w:rFonts w:asciiTheme="minorHAnsi" w:hAnsiTheme="minorHAnsi"/>
          <w:sz w:val="24"/>
          <w:szCs w:val="24"/>
        </w:rPr>
        <w:t xml:space="preserve"> biti definirana dinamika izvajanja priprave in izvedbe posameznih projektov, ocenjena vrednost in dinamika črpanja posameznih</w:t>
      </w:r>
      <w:r w:rsidR="00F13B9D">
        <w:rPr>
          <w:rFonts w:asciiTheme="minorHAnsi" w:hAnsiTheme="minorHAnsi"/>
          <w:sz w:val="24"/>
          <w:szCs w:val="24"/>
        </w:rPr>
        <w:t xml:space="preserve"> virov financiranja. Programi morajo upoštevati</w:t>
      </w:r>
      <w:r w:rsidRPr="005F3518">
        <w:rPr>
          <w:rFonts w:asciiTheme="minorHAnsi" w:hAnsiTheme="minorHAnsi"/>
          <w:sz w:val="24"/>
          <w:szCs w:val="24"/>
        </w:rPr>
        <w:t xml:space="preserve"> »zlato pravilo« vlaganj v infrastrukturo, kar pomeni enakomerna vlaganja skozi </w:t>
      </w:r>
      <w:r w:rsidR="007E16CF">
        <w:rPr>
          <w:rFonts w:asciiTheme="minorHAnsi" w:hAnsiTheme="minorHAnsi"/>
          <w:sz w:val="24"/>
          <w:szCs w:val="24"/>
        </w:rPr>
        <w:t>celotno načrtovano obdobje</w:t>
      </w:r>
      <w:r w:rsidRPr="005F3518">
        <w:rPr>
          <w:rFonts w:asciiTheme="minorHAnsi" w:hAnsiTheme="minorHAnsi"/>
          <w:sz w:val="24"/>
          <w:szCs w:val="24"/>
        </w:rPr>
        <w:t>. Vlaganja morajo biti enakomerna tudi na posameznem sektorju (</w:t>
      </w:r>
      <w:r>
        <w:rPr>
          <w:rFonts w:asciiTheme="minorHAnsi" w:hAnsiTheme="minorHAnsi"/>
          <w:sz w:val="24"/>
          <w:szCs w:val="24"/>
        </w:rPr>
        <w:t xml:space="preserve">predvsem </w:t>
      </w:r>
      <w:r w:rsidR="007E16CF">
        <w:rPr>
          <w:rFonts w:asciiTheme="minorHAnsi" w:hAnsiTheme="minorHAnsi"/>
          <w:sz w:val="24"/>
          <w:szCs w:val="24"/>
        </w:rPr>
        <w:t xml:space="preserve">za </w:t>
      </w:r>
      <w:r>
        <w:rPr>
          <w:rFonts w:asciiTheme="minorHAnsi" w:hAnsiTheme="minorHAnsi"/>
          <w:sz w:val="24"/>
          <w:szCs w:val="24"/>
        </w:rPr>
        <w:t>ceste in železnice ter</w:t>
      </w:r>
      <w:r w:rsidR="007E16CF">
        <w:rPr>
          <w:rFonts w:asciiTheme="minorHAnsi" w:hAnsiTheme="minorHAnsi"/>
          <w:sz w:val="24"/>
          <w:szCs w:val="24"/>
        </w:rPr>
        <w:t xml:space="preserve"> ostalo infrastrukturo</w:t>
      </w:r>
      <w:r w:rsidRPr="005F3518">
        <w:rPr>
          <w:rFonts w:asciiTheme="minorHAnsi" w:hAnsiTheme="minorHAnsi"/>
          <w:sz w:val="24"/>
          <w:szCs w:val="24"/>
        </w:rPr>
        <w:t>).</w:t>
      </w:r>
      <w:r w:rsidR="007E16CF">
        <w:rPr>
          <w:rFonts w:asciiTheme="minorHAnsi" w:hAnsiTheme="minorHAnsi"/>
          <w:sz w:val="24"/>
          <w:szCs w:val="24"/>
        </w:rPr>
        <w:t xml:space="preserve"> Za planiranje in spremljanje programa je potrebno iz obstoječih struktur na MzI določiti majhno strokovno ekipo, ki bo skrbela za spoštovanje »zlatega pravila«.</w:t>
      </w:r>
    </w:p>
    <w:p w:rsidR="00C35FC4" w:rsidRDefault="00C35FC4" w:rsidP="0088713A">
      <w:pPr>
        <w:pStyle w:val="Brezrazmikov"/>
        <w:ind w:right="-567"/>
        <w:jc w:val="both"/>
        <w:rPr>
          <w:rFonts w:asciiTheme="minorHAnsi" w:hAnsiTheme="minorHAnsi"/>
          <w:sz w:val="24"/>
          <w:szCs w:val="24"/>
        </w:rPr>
      </w:pPr>
    </w:p>
    <w:p w:rsidR="00C35FC4" w:rsidRPr="007C075A" w:rsidRDefault="00C35FC4" w:rsidP="0088713A">
      <w:pPr>
        <w:pStyle w:val="Brezrazmikov"/>
        <w:ind w:right="-567"/>
        <w:jc w:val="both"/>
        <w:rPr>
          <w:rFonts w:asciiTheme="minorHAnsi" w:hAnsiTheme="minorHAnsi"/>
          <w:sz w:val="24"/>
          <w:szCs w:val="24"/>
        </w:rPr>
      </w:pPr>
      <w:r>
        <w:rPr>
          <w:rFonts w:asciiTheme="minorHAnsi" w:hAnsiTheme="minorHAnsi"/>
          <w:sz w:val="24"/>
          <w:szCs w:val="24"/>
        </w:rPr>
        <w:t>Če ne bomo takoj ukrepali</w:t>
      </w:r>
      <w:r w:rsidR="00226575">
        <w:rPr>
          <w:rFonts w:asciiTheme="minorHAnsi" w:hAnsiTheme="minorHAnsi"/>
          <w:sz w:val="24"/>
          <w:szCs w:val="24"/>
        </w:rPr>
        <w:t xml:space="preserve">, bomo </w:t>
      </w:r>
      <w:r w:rsidR="00F13B9D">
        <w:rPr>
          <w:rFonts w:asciiTheme="minorHAnsi" w:hAnsiTheme="minorHAnsi"/>
          <w:sz w:val="24"/>
          <w:szCs w:val="24"/>
        </w:rPr>
        <w:t xml:space="preserve">v letih 2016-2017 </w:t>
      </w:r>
      <w:r w:rsidR="00020AB2">
        <w:rPr>
          <w:rFonts w:asciiTheme="minorHAnsi" w:hAnsiTheme="minorHAnsi"/>
          <w:sz w:val="24"/>
          <w:szCs w:val="24"/>
        </w:rPr>
        <w:t>ponovili zgodovinski</w:t>
      </w:r>
      <w:r w:rsidR="00950B4D">
        <w:rPr>
          <w:rFonts w:asciiTheme="minorHAnsi" w:hAnsiTheme="minorHAnsi"/>
          <w:sz w:val="24"/>
          <w:szCs w:val="24"/>
        </w:rPr>
        <w:t xml:space="preserve"> dno</w:t>
      </w:r>
      <w:r w:rsidR="00020AB2">
        <w:rPr>
          <w:rFonts w:asciiTheme="minorHAnsi" w:hAnsiTheme="minorHAnsi"/>
          <w:sz w:val="24"/>
          <w:szCs w:val="24"/>
        </w:rPr>
        <w:t xml:space="preserve"> najnižjih</w:t>
      </w:r>
      <w:r w:rsidR="00950B4D">
        <w:rPr>
          <w:rFonts w:asciiTheme="minorHAnsi" w:hAnsiTheme="minorHAnsi"/>
          <w:sz w:val="24"/>
          <w:szCs w:val="24"/>
        </w:rPr>
        <w:t xml:space="preserve"> investicij v prometno infrastrukturo v Sloveniji</w:t>
      </w:r>
      <w:r w:rsidR="00F13B9D">
        <w:rPr>
          <w:rFonts w:asciiTheme="minorHAnsi" w:hAnsiTheme="minorHAnsi"/>
          <w:sz w:val="24"/>
          <w:szCs w:val="24"/>
        </w:rPr>
        <w:t xml:space="preserve"> </w:t>
      </w:r>
      <w:r w:rsidR="00020AB2">
        <w:rPr>
          <w:rFonts w:asciiTheme="minorHAnsi" w:hAnsiTheme="minorHAnsi"/>
          <w:sz w:val="24"/>
          <w:szCs w:val="24"/>
        </w:rPr>
        <w:t>(</w:t>
      </w:r>
      <w:r w:rsidR="00F13B9D">
        <w:rPr>
          <w:rFonts w:asciiTheme="minorHAnsi" w:hAnsiTheme="minorHAnsi"/>
          <w:sz w:val="24"/>
          <w:szCs w:val="24"/>
        </w:rPr>
        <w:t>2012-2013</w:t>
      </w:r>
      <w:r w:rsidR="00020AB2">
        <w:rPr>
          <w:rFonts w:asciiTheme="minorHAnsi" w:hAnsiTheme="minorHAnsi"/>
          <w:sz w:val="24"/>
          <w:szCs w:val="24"/>
        </w:rPr>
        <w:t>)</w:t>
      </w:r>
      <w:r w:rsidR="00950B4D">
        <w:rPr>
          <w:rFonts w:asciiTheme="minorHAnsi" w:hAnsiTheme="minorHAnsi"/>
          <w:sz w:val="24"/>
          <w:szCs w:val="24"/>
        </w:rPr>
        <w:t>, got</w:t>
      </w:r>
      <w:r w:rsidR="00020AB2">
        <w:rPr>
          <w:rFonts w:asciiTheme="minorHAnsi" w:hAnsiTheme="minorHAnsi"/>
          <w:sz w:val="24"/>
          <w:szCs w:val="24"/>
        </w:rPr>
        <w:t>ovo pa so ob tem tudi napovedi znatnih</w:t>
      </w:r>
      <w:r w:rsidR="00950B4D">
        <w:rPr>
          <w:rFonts w:asciiTheme="minorHAnsi" w:hAnsiTheme="minorHAnsi"/>
          <w:sz w:val="24"/>
          <w:szCs w:val="24"/>
        </w:rPr>
        <w:t xml:space="preserve"> gospodarskih rasti brez vlaganj v infrastrukturo</w:t>
      </w:r>
      <w:r w:rsidR="007050DF">
        <w:rPr>
          <w:rFonts w:asciiTheme="minorHAnsi" w:hAnsiTheme="minorHAnsi"/>
          <w:sz w:val="24"/>
          <w:szCs w:val="24"/>
        </w:rPr>
        <w:t xml:space="preserve"> </w:t>
      </w:r>
      <w:r w:rsidR="001E0105">
        <w:rPr>
          <w:rFonts w:asciiTheme="minorHAnsi" w:hAnsiTheme="minorHAnsi"/>
          <w:sz w:val="24"/>
          <w:szCs w:val="24"/>
        </w:rPr>
        <w:t>vprašljive</w:t>
      </w:r>
      <w:r w:rsidR="00950B4D">
        <w:rPr>
          <w:rFonts w:asciiTheme="minorHAnsi" w:hAnsiTheme="minorHAnsi"/>
          <w:sz w:val="24"/>
          <w:szCs w:val="24"/>
        </w:rPr>
        <w:t>.</w:t>
      </w:r>
    </w:p>
    <w:p w:rsidR="00C35FC4" w:rsidRPr="00FA76DE" w:rsidRDefault="00C35FC4" w:rsidP="0088713A">
      <w:pPr>
        <w:spacing w:after="60"/>
        <w:ind w:right="-567"/>
        <w:jc w:val="both"/>
        <w:rPr>
          <w:rFonts w:asciiTheme="minorHAnsi" w:hAnsiTheme="minorHAnsi"/>
          <w:sz w:val="24"/>
          <w:szCs w:val="24"/>
        </w:rPr>
      </w:pPr>
    </w:p>
    <w:p w:rsidR="00C35FC4" w:rsidRDefault="00C35FC4" w:rsidP="0088713A">
      <w:pPr>
        <w:spacing w:after="60"/>
        <w:ind w:right="-567"/>
        <w:jc w:val="both"/>
        <w:rPr>
          <w:rFonts w:asciiTheme="minorHAnsi" w:hAnsiTheme="minorHAnsi"/>
          <w:sz w:val="24"/>
          <w:szCs w:val="24"/>
        </w:rPr>
      </w:pPr>
    </w:p>
    <w:p w:rsidR="001D54C3" w:rsidRDefault="001D54C3" w:rsidP="0088713A">
      <w:pPr>
        <w:spacing w:after="60"/>
        <w:ind w:right="-567"/>
        <w:jc w:val="both"/>
        <w:rPr>
          <w:rFonts w:asciiTheme="minorHAnsi" w:hAnsiTheme="minorHAnsi"/>
          <w:sz w:val="24"/>
          <w:szCs w:val="24"/>
        </w:rPr>
      </w:pPr>
      <w:r>
        <w:rPr>
          <w:rFonts w:asciiTheme="minorHAnsi" w:hAnsiTheme="minorHAnsi"/>
          <w:sz w:val="24"/>
          <w:szCs w:val="24"/>
        </w:rPr>
        <w:t>Viri:</w:t>
      </w:r>
    </w:p>
    <w:p w:rsidR="00C35FC4" w:rsidRDefault="001D54C3" w:rsidP="0088713A">
      <w:pPr>
        <w:pStyle w:val="Odstavekseznama"/>
        <w:numPr>
          <w:ilvl w:val="0"/>
          <w:numId w:val="5"/>
        </w:numPr>
        <w:spacing w:after="60"/>
        <w:ind w:right="-567"/>
        <w:jc w:val="both"/>
        <w:rPr>
          <w:rFonts w:asciiTheme="minorHAnsi" w:hAnsiTheme="minorHAnsi"/>
          <w:sz w:val="24"/>
          <w:szCs w:val="24"/>
        </w:rPr>
      </w:pPr>
      <w:r>
        <w:rPr>
          <w:rFonts w:asciiTheme="minorHAnsi" w:hAnsiTheme="minorHAnsi"/>
          <w:sz w:val="24"/>
          <w:szCs w:val="24"/>
        </w:rPr>
        <w:t>Infrastrukturna konferenca Infrakon, Ljubljana 2014</w:t>
      </w:r>
      <w:r w:rsidR="00C35FC4" w:rsidRPr="001D54C3">
        <w:rPr>
          <w:rFonts w:asciiTheme="minorHAnsi" w:hAnsiTheme="minorHAnsi"/>
          <w:sz w:val="24"/>
          <w:szCs w:val="24"/>
        </w:rPr>
        <w:t xml:space="preserve"> </w:t>
      </w:r>
    </w:p>
    <w:p w:rsidR="001D54C3" w:rsidRDefault="001D54C3" w:rsidP="0088713A">
      <w:pPr>
        <w:pStyle w:val="Odstavekseznama"/>
        <w:numPr>
          <w:ilvl w:val="0"/>
          <w:numId w:val="5"/>
        </w:numPr>
        <w:spacing w:after="60"/>
        <w:ind w:right="-567"/>
        <w:jc w:val="both"/>
        <w:rPr>
          <w:rFonts w:asciiTheme="minorHAnsi" w:hAnsiTheme="minorHAnsi"/>
          <w:sz w:val="24"/>
          <w:szCs w:val="24"/>
        </w:rPr>
      </w:pPr>
      <w:r>
        <w:rPr>
          <w:rFonts w:asciiTheme="minorHAnsi" w:hAnsiTheme="minorHAnsi"/>
          <w:sz w:val="24"/>
          <w:szCs w:val="24"/>
        </w:rPr>
        <w:t>Interna gradiva</w:t>
      </w:r>
      <w:r w:rsidR="001E0105">
        <w:rPr>
          <w:rFonts w:asciiTheme="minorHAnsi" w:hAnsiTheme="minorHAnsi"/>
          <w:sz w:val="24"/>
          <w:szCs w:val="24"/>
        </w:rPr>
        <w:t xml:space="preserve"> Sloman in GZS</w:t>
      </w:r>
    </w:p>
    <w:p w:rsidR="00AE077C" w:rsidRDefault="00AE077C" w:rsidP="00AE077C">
      <w:pPr>
        <w:spacing w:after="60"/>
        <w:ind w:right="-567"/>
        <w:jc w:val="both"/>
        <w:rPr>
          <w:rFonts w:asciiTheme="minorHAnsi" w:hAnsiTheme="minorHAnsi"/>
          <w:sz w:val="24"/>
          <w:szCs w:val="24"/>
        </w:rPr>
      </w:pPr>
    </w:p>
    <w:p w:rsidR="00AE077C" w:rsidRDefault="00AE077C" w:rsidP="00AE077C">
      <w:pPr>
        <w:spacing w:after="60"/>
        <w:ind w:right="-567"/>
        <w:jc w:val="both"/>
        <w:rPr>
          <w:rFonts w:asciiTheme="minorHAnsi" w:hAnsiTheme="minorHAnsi"/>
          <w:sz w:val="24"/>
          <w:szCs w:val="24"/>
        </w:rPr>
      </w:pPr>
    </w:p>
    <w:p w:rsidR="00AE077C" w:rsidRDefault="00AE077C" w:rsidP="00AE077C">
      <w:pPr>
        <w:spacing w:after="60"/>
        <w:ind w:right="-567"/>
        <w:jc w:val="both"/>
        <w:rPr>
          <w:rFonts w:asciiTheme="minorHAnsi" w:hAnsiTheme="minorHAnsi"/>
          <w:sz w:val="24"/>
          <w:szCs w:val="24"/>
        </w:rPr>
      </w:pPr>
    </w:p>
    <w:p w:rsidR="00AE077C" w:rsidRDefault="00AE077C" w:rsidP="00AE077C">
      <w:pPr>
        <w:spacing w:after="60"/>
        <w:ind w:right="-567"/>
        <w:jc w:val="both"/>
        <w:rPr>
          <w:rFonts w:asciiTheme="minorHAnsi" w:hAnsiTheme="minorHAnsi"/>
          <w:sz w:val="24"/>
          <w:szCs w:val="24"/>
        </w:rPr>
      </w:pPr>
    </w:p>
    <w:p w:rsidR="00AE077C" w:rsidRDefault="00AE077C" w:rsidP="00AE077C">
      <w:pPr>
        <w:spacing w:after="60"/>
        <w:ind w:right="-567"/>
        <w:jc w:val="both"/>
        <w:rPr>
          <w:rFonts w:asciiTheme="minorHAnsi" w:hAnsiTheme="minorHAnsi"/>
          <w:sz w:val="24"/>
          <w:szCs w:val="24"/>
        </w:rPr>
      </w:pPr>
    </w:p>
    <w:p w:rsidR="00AE077C" w:rsidRDefault="00AE077C" w:rsidP="00AE077C">
      <w:pPr>
        <w:spacing w:after="60"/>
        <w:ind w:right="-567"/>
        <w:jc w:val="both"/>
        <w:rPr>
          <w:rFonts w:asciiTheme="minorHAnsi" w:hAnsiTheme="minorHAnsi"/>
          <w:sz w:val="24"/>
          <w:szCs w:val="24"/>
        </w:rPr>
      </w:pPr>
    </w:p>
    <w:p w:rsidR="00AE077C" w:rsidRPr="00AE077C" w:rsidRDefault="00AE077C" w:rsidP="00AE077C">
      <w:pPr>
        <w:pBdr>
          <w:top w:val="single" w:sz="4" w:space="1" w:color="auto"/>
          <w:left w:val="single" w:sz="4" w:space="4" w:color="auto"/>
          <w:bottom w:val="single" w:sz="4" w:space="1" w:color="auto"/>
          <w:right w:val="single" w:sz="4" w:space="4" w:color="auto"/>
        </w:pBdr>
        <w:spacing w:after="60"/>
        <w:ind w:right="-567"/>
        <w:jc w:val="both"/>
        <w:rPr>
          <w:rFonts w:asciiTheme="minorHAnsi" w:hAnsiTheme="minorHAnsi"/>
          <w:b/>
          <w:sz w:val="24"/>
          <w:szCs w:val="24"/>
        </w:rPr>
      </w:pPr>
      <w:bookmarkStart w:id="0" w:name="_GoBack"/>
      <w:r w:rsidRPr="00AE077C">
        <w:rPr>
          <w:rFonts w:asciiTheme="minorHAnsi" w:hAnsiTheme="minorHAnsi"/>
          <w:b/>
          <w:sz w:val="24"/>
          <w:szCs w:val="24"/>
        </w:rPr>
        <w:t>»ZLATO PRAVILO« vlaganj v prometno infrastrukturo pomeni:</w:t>
      </w:r>
    </w:p>
    <w:p w:rsidR="00AE077C" w:rsidRPr="00AE077C" w:rsidRDefault="00AE077C" w:rsidP="00AE077C">
      <w:pPr>
        <w:pBdr>
          <w:top w:val="single" w:sz="4" w:space="1" w:color="auto"/>
          <w:left w:val="single" w:sz="4" w:space="4" w:color="auto"/>
          <w:bottom w:val="single" w:sz="4" w:space="1" w:color="auto"/>
          <w:right w:val="single" w:sz="4" w:space="4" w:color="auto"/>
        </w:pBdr>
        <w:spacing w:after="60"/>
        <w:ind w:right="-567" w:firstLine="708"/>
        <w:jc w:val="both"/>
        <w:rPr>
          <w:rFonts w:asciiTheme="minorHAnsi" w:hAnsiTheme="minorHAnsi"/>
          <w:b/>
          <w:sz w:val="24"/>
          <w:szCs w:val="24"/>
        </w:rPr>
      </w:pPr>
      <w:r w:rsidRPr="00AE077C">
        <w:rPr>
          <w:rFonts w:asciiTheme="minorHAnsi" w:hAnsiTheme="minorHAnsi"/>
          <w:b/>
          <w:sz w:val="24"/>
          <w:szCs w:val="24"/>
        </w:rPr>
        <w:t>Enakomerno planiranje in realizacija na projektih prometne infrastrukture</w:t>
      </w:r>
      <w:r w:rsidR="00020AB2">
        <w:rPr>
          <w:rFonts w:asciiTheme="minorHAnsi" w:hAnsiTheme="minorHAnsi"/>
          <w:b/>
          <w:sz w:val="24"/>
          <w:szCs w:val="24"/>
        </w:rPr>
        <w:t xml:space="preserve"> skozi daljše obdobje</w:t>
      </w:r>
    </w:p>
    <w:p w:rsidR="00AE077C" w:rsidRPr="00AE077C" w:rsidRDefault="00AE077C" w:rsidP="00AE077C">
      <w:pPr>
        <w:pBdr>
          <w:top w:val="single" w:sz="4" w:space="1" w:color="auto"/>
          <w:left w:val="single" w:sz="4" w:space="4" w:color="auto"/>
          <w:bottom w:val="single" w:sz="4" w:space="1" w:color="auto"/>
          <w:right w:val="single" w:sz="4" w:space="4" w:color="auto"/>
        </w:pBdr>
        <w:spacing w:after="60"/>
        <w:ind w:right="-567" w:firstLine="708"/>
        <w:jc w:val="both"/>
        <w:rPr>
          <w:rFonts w:asciiTheme="minorHAnsi" w:hAnsiTheme="minorHAnsi"/>
          <w:b/>
          <w:sz w:val="24"/>
          <w:szCs w:val="24"/>
        </w:rPr>
      </w:pPr>
      <w:r w:rsidRPr="00AE077C">
        <w:rPr>
          <w:rFonts w:asciiTheme="minorHAnsi" w:hAnsiTheme="minorHAnsi"/>
          <w:b/>
          <w:sz w:val="24"/>
          <w:szCs w:val="24"/>
        </w:rPr>
        <w:t>5 ali 6 letni drsni plan (vsako preteklo leto se nadomesti z novim)</w:t>
      </w:r>
    </w:p>
    <w:p w:rsidR="00AE077C" w:rsidRPr="00AE077C" w:rsidRDefault="00AE077C" w:rsidP="00AE077C">
      <w:pPr>
        <w:pBdr>
          <w:top w:val="single" w:sz="4" w:space="1" w:color="auto"/>
          <w:left w:val="single" w:sz="4" w:space="4" w:color="auto"/>
          <w:bottom w:val="single" w:sz="4" w:space="1" w:color="auto"/>
          <w:right w:val="single" w:sz="4" w:space="4" w:color="auto"/>
        </w:pBdr>
        <w:spacing w:after="60"/>
        <w:ind w:right="-567" w:firstLine="708"/>
        <w:jc w:val="both"/>
        <w:rPr>
          <w:rFonts w:asciiTheme="minorHAnsi" w:hAnsiTheme="minorHAnsi"/>
          <w:b/>
          <w:sz w:val="24"/>
          <w:szCs w:val="24"/>
        </w:rPr>
      </w:pPr>
      <w:r w:rsidRPr="00AE077C">
        <w:rPr>
          <w:rFonts w:asciiTheme="minorHAnsi" w:hAnsiTheme="minorHAnsi"/>
          <w:b/>
          <w:sz w:val="24"/>
          <w:szCs w:val="24"/>
        </w:rPr>
        <w:t xml:space="preserve">Enakomerna </w:t>
      </w:r>
      <w:r w:rsidR="00020AB2">
        <w:rPr>
          <w:rFonts w:asciiTheme="minorHAnsi" w:hAnsiTheme="minorHAnsi"/>
          <w:b/>
          <w:sz w:val="24"/>
          <w:szCs w:val="24"/>
        </w:rPr>
        <w:t xml:space="preserve">letna </w:t>
      </w:r>
      <w:r w:rsidRPr="00AE077C">
        <w:rPr>
          <w:rFonts w:asciiTheme="minorHAnsi" w:hAnsiTheme="minorHAnsi"/>
          <w:b/>
          <w:sz w:val="24"/>
          <w:szCs w:val="24"/>
        </w:rPr>
        <w:t xml:space="preserve">vlaganja </w:t>
      </w:r>
      <w:r w:rsidR="00020AB2">
        <w:rPr>
          <w:rFonts w:asciiTheme="minorHAnsi" w:hAnsiTheme="minorHAnsi"/>
          <w:b/>
          <w:sz w:val="24"/>
          <w:szCs w:val="24"/>
        </w:rPr>
        <w:t>v posamezne sektorje kot so</w:t>
      </w:r>
      <w:r w:rsidRPr="00AE077C">
        <w:rPr>
          <w:rFonts w:asciiTheme="minorHAnsi" w:hAnsiTheme="minorHAnsi"/>
          <w:b/>
          <w:sz w:val="24"/>
          <w:szCs w:val="24"/>
        </w:rPr>
        <w:t xml:space="preserve"> ceste in železnice</w:t>
      </w:r>
      <w:bookmarkEnd w:id="0"/>
    </w:p>
    <w:sectPr w:rsidR="00AE077C" w:rsidRPr="00AE077C" w:rsidSect="0098370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B8" w:rsidRDefault="005676B8" w:rsidP="00C35FC4">
      <w:pPr>
        <w:spacing w:after="0" w:line="240" w:lineRule="auto"/>
      </w:pPr>
      <w:r>
        <w:separator/>
      </w:r>
    </w:p>
  </w:endnote>
  <w:endnote w:type="continuationSeparator" w:id="0">
    <w:p w:rsidR="005676B8" w:rsidRDefault="005676B8" w:rsidP="00C3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Telo">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81360"/>
      <w:docPartObj>
        <w:docPartGallery w:val="Page Numbers (Bottom of Page)"/>
        <w:docPartUnique/>
      </w:docPartObj>
    </w:sdtPr>
    <w:sdtEndPr/>
    <w:sdtContent>
      <w:p w:rsidR="00D56574" w:rsidRDefault="006934C9">
        <w:pPr>
          <w:pStyle w:val="Noga"/>
          <w:jc w:val="center"/>
        </w:pPr>
        <w:r>
          <w:fldChar w:fldCharType="begin"/>
        </w:r>
        <w:r>
          <w:instrText xml:space="preserve"> PAGE   \* MERGEFORMAT </w:instrText>
        </w:r>
        <w:r>
          <w:fldChar w:fldCharType="separate"/>
        </w:r>
        <w:r w:rsidR="00471BC3">
          <w:rPr>
            <w:noProof/>
          </w:rPr>
          <w:t>12</w:t>
        </w:r>
        <w:r>
          <w:rPr>
            <w:noProof/>
          </w:rPr>
          <w:fldChar w:fldCharType="end"/>
        </w:r>
      </w:p>
    </w:sdtContent>
  </w:sdt>
  <w:p w:rsidR="00D56574" w:rsidRDefault="00D565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B8" w:rsidRDefault="005676B8" w:rsidP="00C35FC4">
      <w:pPr>
        <w:spacing w:after="0" w:line="240" w:lineRule="auto"/>
      </w:pPr>
      <w:r>
        <w:separator/>
      </w:r>
    </w:p>
  </w:footnote>
  <w:footnote w:type="continuationSeparator" w:id="0">
    <w:p w:rsidR="005676B8" w:rsidRDefault="005676B8" w:rsidP="00C35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EF5"/>
    <w:multiLevelType w:val="hybridMultilevel"/>
    <w:tmpl w:val="E4C62740"/>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D0700C"/>
    <w:multiLevelType w:val="hybridMultilevel"/>
    <w:tmpl w:val="CC18616C"/>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EA030CB"/>
    <w:multiLevelType w:val="hybridMultilevel"/>
    <w:tmpl w:val="07E4F44A"/>
    <w:lvl w:ilvl="0" w:tplc="9AE0259A">
      <w:numFmt w:val="bullet"/>
      <w:lvlText w:val="-"/>
      <w:lvlJc w:val="left"/>
      <w:pPr>
        <w:ind w:left="720" w:hanging="360"/>
      </w:pPr>
      <w:rPr>
        <w:rFonts w:ascii="Calibri Telo" w:eastAsia="Calibri" w:hAnsi="Calibri Tel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447D1D"/>
    <w:multiLevelType w:val="hybridMultilevel"/>
    <w:tmpl w:val="ED9288B6"/>
    <w:lvl w:ilvl="0" w:tplc="5DF4D2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F92D37"/>
    <w:multiLevelType w:val="hybridMultilevel"/>
    <w:tmpl w:val="93908D8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3813D4B"/>
    <w:multiLevelType w:val="hybridMultilevel"/>
    <w:tmpl w:val="969093E4"/>
    <w:lvl w:ilvl="0" w:tplc="0CB02390">
      <w:numFmt w:val="bullet"/>
      <w:lvlText w:val="-"/>
      <w:lvlJc w:val="left"/>
      <w:pPr>
        <w:ind w:left="720" w:hanging="360"/>
      </w:pPr>
      <w:rPr>
        <w:rFonts w:ascii="Calibri Telo" w:eastAsia="Calibri" w:hAnsi="Calibri Tel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890147"/>
    <w:multiLevelType w:val="hybridMultilevel"/>
    <w:tmpl w:val="26D2D0BA"/>
    <w:lvl w:ilvl="0" w:tplc="1572259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A8414E"/>
    <w:multiLevelType w:val="hybridMultilevel"/>
    <w:tmpl w:val="47423ACE"/>
    <w:lvl w:ilvl="0" w:tplc="06ECD3A6">
      <w:numFmt w:val="bullet"/>
      <w:lvlText w:val="-"/>
      <w:lvlJc w:val="left"/>
      <w:pPr>
        <w:ind w:left="720" w:hanging="360"/>
      </w:pPr>
      <w:rPr>
        <w:rFonts w:ascii="Calibri Telo" w:eastAsia="Calibri" w:hAnsi="Calibri Tel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12579D"/>
    <w:multiLevelType w:val="hybridMultilevel"/>
    <w:tmpl w:val="E5686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05B1EFE"/>
    <w:multiLevelType w:val="hybridMultilevel"/>
    <w:tmpl w:val="CC18616C"/>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7B460490"/>
    <w:multiLevelType w:val="hybridMultilevel"/>
    <w:tmpl w:val="C1BCDFF2"/>
    <w:lvl w:ilvl="0" w:tplc="4680FE0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1B22E9"/>
    <w:multiLevelType w:val="hybridMultilevel"/>
    <w:tmpl w:val="D9EA9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6"/>
  </w:num>
  <w:num w:numId="6">
    <w:abstractNumId w:val="9"/>
  </w:num>
  <w:num w:numId="7">
    <w:abstractNumId w:val="10"/>
  </w:num>
  <w:num w:numId="8">
    <w:abstractNumId w:val="8"/>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C4"/>
    <w:rsid w:val="00006BB8"/>
    <w:rsid w:val="00020AB2"/>
    <w:rsid w:val="00055C63"/>
    <w:rsid w:val="000A1C83"/>
    <w:rsid w:val="000C309A"/>
    <w:rsid w:val="000C62E6"/>
    <w:rsid w:val="00126162"/>
    <w:rsid w:val="0015207D"/>
    <w:rsid w:val="00153EE0"/>
    <w:rsid w:val="00170BE8"/>
    <w:rsid w:val="001D54C3"/>
    <w:rsid w:val="001E0105"/>
    <w:rsid w:val="00225B14"/>
    <w:rsid w:val="00226575"/>
    <w:rsid w:val="002537F4"/>
    <w:rsid w:val="00301913"/>
    <w:rsid w:val="0031732E"/>
    <w:rsid w:val="003741E3"/>
    <w:rsid w:val="003A25E8"/>
    <w:rsid w:val="00423122"/>
    <w:rsid w:val="004277A8"/>
    <w:rsid w:val="00435F4C"/>
    <w:rsid w:val="00471BC3"/>
    <w:rsid w:val="004E0E4B"/>
    <w:rsid w:val="004E5389"/>
    <w:rsid w:val="004E7227"/>
    <w:rsid w:val="00511B63"/>
    <w:rsid w:val="00537D8F"/>
    <w:rsid w:val="005676B8"/>
    <w:rsid w:val="005A4C40"/>
    <w:rsid w:val="005F2FC8"/>
    <w:rsid w:val="005F3518"/>
    <w:rsid w:val="006934C9"/>
    <w:rsid w:val="006F2D92"/>
    <w:rsid w:val="00704777"/>
    <w:rsid w:val="007050DF"/>
    <w:rsid w:val="00705A80"/>
    <w:rsid w:val="007227F7"/>
    <w:rsid w:val="007D56BD"/>
    <w:rsid w:val="007E16CF"/>
    <w:rsid w:val="00811B50"/>
    <w:rsid w:val="00815904"/>
    <w:rsid w:val="00826322"/>
    <w:rsid w:val="0084747B"/>
    <w:rsid w:val="00876242"/>
    <w:rsid w:val="0088713A"/>
    <w:rsid w:val="008A3E3D"/>
    <w:rsid w:val="008E6E1D"/>
    <w:rsid w:val="008E7553"/>
    <w:rsid w:val="009315F4"/>
    <w:rsid w:val="00950B4D"/>
    <w:rsid w:val="009574F4"/>
    <w:rsid w:val="00983702"/>
    <w:rsid w:val="009B75AE"/>
    <w:rsid w:val="009C5E64"/>
    <w:rsid w:val="009C6483"/>
    <w:rsid w:val="00A9140F"/>
    <w:rsid w:val="00A943DD"/>
    <w:rsid w:val="00AE077C"/>
    <w:rsid w:val="00B033A4"/>
    <w:rsid w:val="00B641B7"/>
    <w:rsid w:val="00B773E2"/>
    <w:rsid w:val="00BB2F45"/>
    <w:rsid w:val="00BD17AC"/>
    <w:rsid w:val="00C35FC4"/>
    <w:rsid w:val="00C40FCC"/>
    <w:rsid w:val="00CC5829"/>
    <w:rsid w:val="00D0669A"/>
    <w:rsid w:val="00D16230"/>
    <w:rsid w:val="00D25E90"/>
    <w:rsid w:val="00D56574"/>
    <w:rsid w:val="00D67AE4"/>
    <w:rsid w:val="00D737CD"/>
    <w:rsid w:val="00DC52DE"/>
    <w:rsid w:val="00DF13E7"/>
    <w:rsid w:val="00DF3F82"/>
    <w:rsid w:val="00DF5B98"/>
    <w:rsid w:val="00E00B5A"/>
    <w:rsid w:val="00E1657A"/>
    <w:rsid w:val="00E57192"/>
    <w:rsid w:val="00E73134"/>
    <w:rsid w:val="00ED25F8"/>
    <w:rsid w:val="00F13B9D"/>
    <w:rsid w:val="00F24226"/>
    <w:rsid w:val="00F64869"/>
    <w:rsid w:val="00F86BC9"/>
    <w:rsid w:val="00FF0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21995-9B8C-4B0D-9F70-76FD6B14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FC4"/>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C35FC4"/>
    <w:pPr>
      <w:spacing w:after="0" w:line="240" w:lineRule="auto"/>
    </w:pPr>
    <w:rPr>
      <w:rFonts w:ascii="Calibri" w:eastAsia="Calibri" w:hAnsi="Calibri" w:cs="Times New Roman"/>
      <w:noProof/>
    </w:rPr>
  </w:style>
  <w:style w:type="paragraph" w:styleId="Odstavekseznama">
    <w:name w:val="List Paragraph"/>
    <w:basedOn w:val="Navaden"/>
    <w:uiPriority w:val="99"/>
    <w:qFormat/>
    <w:rsid w:val="00C35FC4"/>
    <w:pPr>
      <w:ind w:left="720"/>
      <w:contextualSpacing/>
    </w:pPr>
  </w:style>
  <w:style w:type="paragraph" w:styleId="Besedilooblaka">
    <w:name w:val="Balloon Text"/>
    <w:basedOn w:val="Navaden"/>
    <w:link w:val="BesedilooblakaZnak"/>
    <w:uiPriority w:val="99"/>
    <w:semiHidden/>
    <w:unhideWhenUsed/>
    <w:rsid w:val="00C35FC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5FC4"/>
    <w:rPr>
      <w:rFonts w:ascii="Tahoma" w:eastAsia="Calibri" w:hAnsi="Tahoma" w:cs="Tahoma"/>
      <w:sz w:val="16"/>
      <w:szCs w:val="16"/>
    </w:rPr>
  </w:style>
  <w:style w:type="paragraph" w:styleId="Glava">
    <w:name w:val="header"/>
    <w:basedOn w:val="Navaden"/>
    <w:link w:val="GlavaZnak"/>
    <w:uiPriority w:val="99"/>
    <w:semiHidden/>
    <w:unhideWhenUsed/>
    <w:rsid w:val="00C35FC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35FC4"/>
    <w:rPr>
      <w:rFonts w:ascii="Calibri" w:eastAsia="Calibri" w:hAnsi="Calibri" w:cs="Times New Roman"/>
    </w:rPr>
  </w:style>
  <w:style w:type="paragraph" w:styleId="Noga">
    <w:name w:val="footer"/>
    <w:basedOn w:val="Navaden"/>
    <w:link w:val="NogaZnak"/>
    <w:uiPriority w:val="99"/>
    <w:unhideWhenUsed/>
    <w:rsid w:val="00C35FC4"/>
    <w:pPr>
      <w:tabs>
        <w:tab w:val="center" w:pos="4536"/>
        <w:tab w:val="right" w:pos="9072"/>
      </w:tabs>
      <w:spacing w:after="0" w:line="240" w:lineRule="auto"/>
    </w:pPr>
  </w:style>
  <w:style w:type="character" w:customStyle="1" w:styleId="NogaZnak">
    <w:name w:val="Noga Znak"/>
    <w:basedOn w:val="Privzetapisavaodstavka"/>
    <w:link w:val="Noga"/>
    <w:uiPriority w:val="99"/>
    <w:rsid w:val="00C35FC4"/>
    <w:rPr>
      <w:rFonts w:ascii="Calibri" w:eastAsia="Calibri" w:hAnsi="Calibri" w:cs="Times New Roman"/>
    </w:rPr>
  </w:style>
  <w:style w:type="table" w:styleId="Tabelamrea">
    <w:name w:val="Table Grid"/>
    <w:basedOn w:val="Navadnatabela"/>
    <w:uiPriority w:val="39"/>
    <w:rsid w:val="00D5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86BC9"/>
    <w:pPr>
      <w:spacing w:before="100" w:beforeAutospacing="1" w:after="100" w:afterAutospacing="1" w:line="240" w:lineRule="auto"/>
    </w:pPr>
    <w:rPr>
      <w:rFonts w:ascii="Times New Roman" w:eastAsiaTheme="minorEastAsia"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i\1%20leto%202015\Henigman\referat\diagrami\Investicije%20Asfinag%202015%20-%20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gzs-fs01\Users$\henigman\My%20Documents\Dokumenti\GZS-2015\SVETOVALNI%20IN&#381;ENIR-publikacija\Gradiva\NOVO-NOVO\Henigman\Prora&#269;un%20MzI%20in%20DARS%202008-2015%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gzs-fs01\Users$\henigman\My%20Documents\Dokumenti\GZS-2015\SVETOVALNI%20IN&#381;ENIR-publikacija\Gradiva\IVANC\Graf-gibanje%20glavnih%20kazalnikov%20za%20svetovalne%20in&#382;eniring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Plan</a:t>
            </a:r>
            <a:r>
              <a:rPr lang="sl-SI" sz="1200" b="1">
                <a:solidFill>
                  <a:sysClr val="windowText" lastClr="000000"/>
                </a:solidFill>
              </a:rPr>
              <a:t> investicij družbe ASFINAG</a:t>
            </a:r>
            <a:r>
              <a:rPr lang="sl-SI" sz="1200" b="1" baseline="0">
                <a:solidFill>
                  <a:sysClr val="windowText" lastClr="000000"/>
                </a:solidFill>
              </a:rPr>
              <a:t> za obdobje 2015 - 2020 </a:t>
            </a:r>
          </a:p>
          <a:p>
            <a:pPr>
              <a:defRPr sz="1400" b="0" i="0" u="none" strike="noStrike" kern="1200" spc="0" baseline="0">
                <a:solidFill>
                  <a:schemeClr val="tx1">
                    <a:lumMod val="65000"/>
                    <a:lumOff val="35000"/>
                  </a:schemeClr>
                </a:solidFill>
                <a:latin typeface="+mn-lt"/>
                <a:ea typeface="+mn-ea"/>
                <a:cs typeface="+mn-cs"/>
              </a:defRPr>
            </a:pPr>
            <a:r>
              <a:rPr lang="sl-SI" sz="1000" b="1" baseline="0">
                <a:solidFill>
                  <a:sysClr val="windowText" lastClr="000000"/>
                </a:solidFill>
              </a:rPr>
              <a:t>vir: www.asfinag.at/untervegs/bauen  </a:t>
            </a:r>
            <a:r>
              <a:rPr lang="en-US" sz="1000" b="1">
                <a:solidFill>
                  <a:sysClr val="windowText" lastClr="000000"/>
                </a:solidFill>
              </a:rPr>
              <a:t> </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List1!$A$3:$A$8</c:f>
              <c:numCache>
                <c:formatCode>General</c:formatCode>
                <c:ptCount val="6"/>
                <c:pt idx="0">
                  <c:v>2015</c:v>
                </c:pt>
                <c:pt idx="1">
                  <c:v>2016</c:v>
                </c:pt>
                <c:pt idx="2">
                  <c:v>2017</c:v>
                </c:pt>
                <c:pt idx="3">
                  <c:v>2018</c:v>
                </c:pt>
                <c:pt idx="4">
                  <c:v>2019</c:v>
                </c:pt>
                <c:pt idx="5">
                  <c:v>2020</c:v>
                </c:pt>
              </c:numCache>
            </c:numRef>
          </c:cat>
          <c:val>
            <c:numRef>
              <c:f>List1!$B$3:$B$8</c:f>
              <c:numCache>
                <c:formatCode>General</c:formatCode>
                <c:ptCount val="6"/>
                <c:pt idx="0">
                  <c:v>0.98499999999999999</c:v>
                </c:pt>
                <c:pt idx="1">
                  <c:v>1.1700000000000002</c:v>
                </c:pt>
                <c:pt idx="2">
                  <c:v>1.1700000000000002</c:v>
                </c:pt>
                <c:pt idx="3">
                  <c:v>1.1700000000000002</c:v>
                </c:pt>
                <c:pt idx="4">
                  <c:v>1.1700000000000002</c:v>
                </c:pt>
                <c:pt idx="5">
                  <c:v>1.1700000000000002</c:v>
                </c:pt>
              </c:numCache>
            </c:numRef>
          </c:val>
        </c:ser>
        <c:dLbls>
          <c:showLegendKey val="0"/>
          <c:showVal val="0"/>
          <c:showCatName val="0"/>
          <c:showSerName val="0"/>
          <c:showPercent val="0"/>
          <c:showBubbleSize val="0"/>
        </c:dLbls>
        <c:gapWidth val="219"/>
        <c:overlap val="-27"/>
        <c:axId val="160779768"/>
        <c:axId val="159590616"/>
      </c:barChart>
      <c:catAx>
        <c:axId val="1607797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sl-SI" b="1">
                    <a:solidFill>
                      <a:schemeClr val="tx1"/>
                    </a:solidFill>
                  </a:rPr>
                  <a:t>Leto</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9590616"/>
        <c:crosses val="autoZero"/>
        <c:auto val="1"/>
        <c:lblAlgn val="ctr"/>
        <c:lblOffset val="100"/>
        <c:noMultiLvlLbl val="0"/>
      </c:catAx>
      <c:valAx>
        <c:axId val="159590616"/>
        <c:scaling>
          <c:orientation val="minMax"/>
          <c:max val="1.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sl-SI" b="1">
                    <a:solidFill>
                      <a:schemeClr val="tx1"/>
                    </a:solidFill>
                  </a:rPr>
                  <a:t> </a:t>
                </a:r>
                <a:r>
                  <a:rPr lang="en-US" b="1">
                    <a:solidFill>
                      <a:schemeClr val="tx1"/>
                    </a:solidFill>
                  </a:rPr>
                  <a:t>v</a:t>
                </a:r>
                <a:r>
                  <a:rPr lang="sl-SI" b="1" baseline="0">
                    <a:solidFill>
                      <a:schemeClr val="tx1"/>
                    </a:solidFill>
                  </a:rPr>
                  <a:t> mrd</a:t>
                </a:r>
                <a:r>
                  <a:rPr lang="sl-SI" b="1">
                    <a:solidFill>
                      <a:schemeClr val="tx1"/>
                    </a:solidFill>
                  </a:rPr>
                  <a:t> EUR</a:t>
                </a:r>
                <a:r>
                  <a:rPr lang="en-US" b="1">
                    <a:solidFill>
                      <a:schemeClr val="tx1"/>
                    </a:solidFill>
                  </a:rPr>
                  <a:t>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779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sl-SI" sz="900" b="1">
                <a:solidFill>
                  <a:schemeClr val="tx1"/>
                </a:solidFill>
              </a:rPr>
              <a:t>Realizacija</a:t>
            </a:r>
            <a:r>
              <a:rPr lang="sl-SI" sz="900" b="1" baseline="0">
                <a:solidFill>
                  <a:schemeClr val="tx1"/>
                </a:solidFill>
              </a:rPr>
              <a:t> proračunov MzI 2014 -2015 in predlog plana za 2016 - 2017</a:t>
            </a:r>
            <a:endParaRPr lang="sl-SI" sz="900" b="1">
              <a:solidFill>
                <a:schemeClr val="tx1"/>
              </a:solidFill>
            </a:endParaRPr>
          </a:p>
        </c:rich>
      </c:tx>
      <c:layout>
        <c:manualLayout>
          <c:xMode val="edge"/>
          <c:yMode val="edge"/>
          <c:x val="0.12303407586872152"/>
          <c:y val="3.100775193798449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sl-SI"/>
        </a:p>
      </c:txPr>
    </c:title>
    <c:autoTitleDeleted val="0"/>
    <c:plotArea>
      <c:layout>
        <c:manualLayout>
          <c:layoutTarget val="inner"/>
          <c:xMode val="edge"/>
          <c:yMode val="edge"/>
          <c:x val="0.12802543912780134"/>
          <c:y val="0.15782416732792121"/>
          <c:w val="0.82753018372703413"/>
          <c:h val="0.6838506124234470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List1!$B$2:$B$8</c:f>
              <c:numCache>
                <c:formatCode>General</c:formatCode>
                <c:ptCount val="4"/>
                <c:pt idx="0">
                  <c:v>2014</c:v>
                </c:pt>
                <c:pt idx="1">
                  <c:v>2015</c:v>
                </c:pt>
                <c:pt idx="2">
                  <c:v>2016</c:v>
                </c:pt>
                <c:pt idx="3">
                  <c:v>2017</c:v>
                </c:pt>
              </c:numCache>
            </c:numRef>
          </c:cat>
          <c:val>
            <c:numRef>
              <c:f>List1!$C$2:$C$8</c:f>
              <c:numCache>
                <c:formatCode>General</c:formatCode>
                <c:ptCount val="4"/>
                <c:pt idx="0">
                  <c:v>810</c:v>
                </c:pt>
                <c:pt idx="1">
                  <c:v>921</c:v>
                </c:pt>
                <c:pt idx="2">
                  <c:v>638</c:v>
                </c:pt>
                <c:pt idx="3">
                  <c:v>691</c:v>
                </c:pt>
              </c:numCache>
            </c:numRef>
          </c:val>
        </c:ser>
        <c:dLbls>
          <c:showLegendKey val="0"/>
          <c:showVal val="0"/>
          <c:showCatName val="0"/>
          <c:showSerName val="0"/>
          <c:showPercent val="0"/>
          <c:showBubbleSize val="0"/>
        </c:dLbls>
        <c:gapWidth val="219"/>
        <c:overlap val="-27"/>
        <c:axId val="159591400"/>
        <c:axId val="160546816"/>
      </c:barChart>
      <c:catAx>
        <c:axId val="159591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1">
                    <a:solidFill>
                      <a:schemeClr val="tx1"/>
                    </a:solidFill>
                  </a:rPr>
                  <a:t>Leto</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546816"/>
        <c:crosses val="autoZero"/>
        <c:auto val="1"/>
        <c:lblAlgn val="ctr"/>
        <c:lblOffset val="100"/>
        <c:noMultiLvlLbl val="0"/>
      </c:catAx>
      <c:valAx>
        <c:axId val="160546816"/>
        <c:scaling>
          <c:orientation val="minMax"/>
          <c:min val="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b="1">
                    <a:solidFill>
                      <a:schemeClr val="tx1"/>
                    </a:solidFill>
                  </a:rPr>
                  <a:t> v mio EUR</a:t>
                </a:r>
                <a:r>
                  <a:rPr lang="en-US" b="1">
                    <a:solidFill>
                      <a:schemeClr val="tx1"/>
                    </a:solidFill>
                  </a:rPr>
                  <a: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9591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sl-SI" sz="1200" b="1">
                <a:solidFill>
                  <a:sysClr val="windowText" lastClr="000000"/>
                </a:solidFill>
              </a:rPr>
              <a:t>Gibanje</a:t>
            </a:r>
            <a:r>
              <a:rPr lang="sl-SI" sz="1200" b="1" baseline="0">
                <a:solidFill>
                  <a:sysClr val="windowText" lastClr="000000"/>
                </a:solidFill>
              </a:rPr>
              <a:t> glavnih kazalcev poslovanja pri svetovalnih inženiringih (realno, 2007 = 100)</a:t>
            </a:r>
            <a:endParaRPr lang="en-US"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sl-SI"/>
        </a:p>
      </c:txPr>
    </c:title>
    <c:autoTitleDeleted val="0"/>
    <c:plotArea>
      <c:layout>
        <c:manualLayout>
          <c:layoutTarget val="inner"/>
          <c:xMode val="edge"/>
          <c:yMode val="edge"/>
          <c:x val="0.14035870516185478"/>
          <c:y val="0.25083333333333335"/>
          <c:w val="0.82908573928258966"/>
          <c:h val="0.58620953630796147"/>
        </c:manualLayout>
      </c:layout>
      <c:lineChart>
        <c:grouping val="standard"/>
        <c:varyColors val="0"/>
        <c:ser>
          <c:idx val="0"/>
          <c:order val="0"/>
          <c:tx>
            <c:strRef>
              <c:f>'[Graf-gibanje glavnih kazalnikov za svetovalne inženiringe.xlsx]List1'!$A$11</c:f>
              <c:strCache>
                <c:ptCount val="1"/>
                <c:pt idx="0">
                  <c:v>Čisti prihodki od prodaje</c:v>
                </c:pt>
              </c:strCache>
            </c:strRef>
          </c:tx>
          <c:spPr>
            <a:ln w="28575" cap="rnd">
              <a:solidFill>
                <a:schemeClr val="accent2"/>
              </a:solidFill>
              <a:round/>
            </a:ln>
            <a:effectLst/>
          </c:spPr>
          <c:marker>
            <c:symbol val="none"/>
          </c:marker>
          <c:cat>
            <c:numRef>
              <c:f>'[Graf-gibanje glavnih kazalnikov za svetovalne inženiringe.xlsx]List1'!$B$1:$I$1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'[Graf-gibanje glavnih kazalnikov za svetovalne inženiringe.xlsx]List1'!$B$11:$I$11</c:f>
              <c:numCache>
                <c:formatCode>#,##0</c:formatCode>
                <c:ptCount val="8"/>
                <c:pt idx="0">
                  <c:v>100</c:v>
                </c:pt>
                <c:pt idx="1">
                  <c:v>110.27783555800785</c:v>
                </c:pt>
                <c:pt idx="2">
                  <c:v>106.66386599505122</c:v>
                </c:pt>
                <c:pt idx="3">
                  <c:v>108.92091227095071</c:v>
                </c:pt>
                <c:pt idx="4">
                  <c:v>81.546350460056857</c:v>
                </c:pt>
                <c:pt idx="5">
                  <c:v>71.519627843582782</c:v>
                </c:pt>
                <c:pt idx="6">
                  <c:v>66.842941573442559</c:v>
                </c:pt>
                <c:pt idx="7">
                  <c:v>63.155226622416436</c:v>
                </c:pt>
              </c:numCache>
            </c:numRef>
          </c:val>
          <c:smooth val="0"/>
        </c:ser>
        <c:ser>
          <c:idx val="1"/>
          <c:order val="1"/>
          <c:tx>
            <c:strRef>
              <c:f>'[Graf-gibanje glavnih kazalnikov za svetovalne inženiringe.xlsx]List1'!$A$12</c:f>
              <c:strCache>
                <c:ptCount val="1"/>
                <c:pt idx="0">
                  <c:v>Dodana vrednost</c:v>
                </c:pt>
              </c:strCache>
            </c:strRef>
          </c:tx>
          <c:spPr>
            <a:ln w="28575" cap="rnd">
              <a:solidFill>
                <a:schemeClr val="accent4"/>
              </a:solidFill>
              <a:round/>
            </a:ln>
            <a:effectLst/>
          </c:spPr>
          <c:marker>
            <c:symbol val="none"/>
          </c:marker>
          <c:cat>
            <c:numRef>
              <c:f>'[Graf-gibanje glavnih kazalnikov za svetovalne inženiringe.xlsx]List1'!$B$1:$I$1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'[Graf-gibanje glavnih kazalnikov za svetovalne inženiringe.xlsx]List1'!$B$12:$I$12</c:f>
              <c:numCache>
                <c:formatCode>#,##0</c:formatCode>
                <c:ptCount val="8"/>
                <c:pt idx="0">
                  <c:v>100</c:v>
                </c:pt>
                <c:pt idx="1">
                  <c:v>122.46641180495845</c:v>
                </c:pt>
                <c:pt idx="2">
                  <c:v>100.5997344186521</c:v>
                </c:pt>
                <c:pt idx="3">
                  <c:v>101.16349357742627</c:v>
                </c:pt>
                <c:pt idx="4">
                  <c:v>80.949961401744815</c:v>
                </c:pt>
                <c:pt idx="5">
                  <c:v>74.465569011876553</c:v>
                </c:pt>
                <c:pt idx="6">
                  <c:v>68.794729568755685</c:v>
                </c:pt>
                <c:pt idx="7">
                  <c:v>68.125951045269517</c:v>
                </c:pt>
              </c:numCache>
            </c:numRef>
          </c:val>
          <c:smooth val="0"/>
        </c:ser>
        <c:ser>
          <c:idx val="2"/>
          <c:order val="2"/>
          <c:tx>
            <c:strRef>
              <c:f>'[Graf-gibanje glavnih kazalnikov za svetovalne inženiringe.xlsx]List1'!$A$13</c:f>
              <c:strCache>
                <c:ptCount val="1"/>
                <c:pt idx="0">
                  <c:v>Dobiček pred davki, obrestmi in amortizacijo (EBITDA)</c:v>
                </c:pt>
              </c:strCache>
            </c:strRef>
          </c:tx>
          <c:spPr>
            <a:ln w="28575" cap="rnd">
              <a:solidFill>
                <a:schemeClr val="accent6"/>
              </a:solidFill>
              <a:round/>
            </a:ln>
            <a:effectLst/>
          </c:spPr>
          <c:marker>
            <c:symbol val="none"/>
          </c:marker>
          <c:cat>
            <c:numRef>
              <c:f>'[Graf-gibanje glavnih kazalnikov za svetovalne inženiringe.xlsx]List1'!$B$1:$I$1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'[Graf-gibanje glavnih kazalnikov za svetovalne inženiringe.xlsx]List1'!$B$13:$I$13</c:f>
              <c:numCache>
                <c:formatCode>#,##0</c:formatCode>
                <c:ptCount val="8"/>
                <c:pt idx="0">
                  <c:v>100</c:v>
                </c:pt>
                <c:pt idx="1">
                  <c:v>145.90824602868815</c:v>
                </c:pt>
                <c:pt idx="2">
                  <c:v>83.604089536345612</c:v>
                </c:pt>
                <c:pt idx="3">
                  <c:v>84.691045872540926</c:v>
                </c:pt>
                <c:pt idx="4">
                  <c:v>56.529015014267536</c:v>
                </c:pt>
                <c:pt idx="5">
                  <c:v>50.260392757114424</c:v>
                </c:pt>
                <c:pt idx="6">
                  <c:v>50.401976653474001</c:v>
                </c:pt>
                <c:pt idx="7">
                  <c:v>36.616938268162642</c:v>
                </c:pt>
              </c:numCache>
            </c:numRef>
          </c:val>
          <c:smooth val="0"/>
        </c:ser>
        <c:ser>
          <c:idx val="3"/>
          <c:order val="3"/>
          <c:tx>
            <c:strRef>
              <c:f>'[Graf-gibanje glavnih kazalnikov za svetovalne inženiringe.xlsx]List1'!$A$14</c:f>
              <c:strCache>
                <c:ptCount val="1"/>
                <c:pt idx="0">
                  <c:v>Neto dobiček</c:v>
                </c:pt>
              </c:strCache>
            </c:strRef>
          </c:tx>
          <c:spPr>
            <a:ln w="28575" cap="rnd">
              <a:solidFill>
                <a:schemeClr val="accent2">
                  <a:lumMod val="60000"/>
                </a:schemeClr>
              </a:solidFill>
              <a:round/>
            </a:ln>
            <a:effectLst/>
          </c:spPr>
          <c:marker>
            <c:symbol val="none"/>
          </c:marker>
          <c:cat>
            <c:numRef>
              <c:f>'[Graf-gibanje glavnih kazalnikov za svetovalne inženiringe.xlsx]List1'!$B$1:$I$1</c:f>
              <c:numCache>
                <c:formatCode>General</c:formatCode>
                <c:ptCount val="8"/>
                <c:pt idx="0">
                  <c:v>2007</c:v>
                </c:pt>
                <c:pt idx="1">
                  <c:v>2008</c:v>
                </c:pt>
                <c:pt idx="2">
                  <c:v>2009</c:v>
                </c:pt>
                <c:pt idx="3">
                  <c:v>2010</c:v>
                </c:pt>
                <c:pt idx="4">
                  <c:v>2011</c:v>
                </c:pt>
                <c:pt idx="5">
                  <c:v>2012</c:v>
                </c:pt>
                <c:pt idx="6">
                  <c:v>2013</c:v>
                </c:pt>
                <c:pt idx="7">
                  <c:v>2014</c:v>
                </c:pt>
              </c:numCache>
            </c:numRef>
          </c:cat>
          <c:val>
            <c:numRef>
              <c:f>'[Graf-gibanje glavnih kazalnikov za svetovalne inženiringe.xlsx]List1'!$B$14:$I$14</c:f>
              <c:numCache>
                <c:formatCode>#,##0</c:formatCode>
                <c:ptCount val="8"/>
                <c:pt idx="0">
                  <c:v>100</c:v>
                </c:pt>
                <c:pt idx="1">
                  <c:v>146.2914386009783</c:v>
                </c:pt>
                <c:pt idx="2">
                  <c:v>90.980614415962762</c:v>
                </c:pt>
                <c:pt idx="3">
                  <c:v>86.276402145320858</c:v>
                </c:pt>
                <c:pt idx="4">
                  <c:v>45.788814883031989</c:v>
                </c:pt>
                <c:pt idx="5">
                  <c:v>37.016300033902162</c:v>
                </c:pt>
                <c:pt idx="6">
                  <c:v>35.826284149207552</c:v>
                </c:pt>
                <c:pt idx="7">
                  <c:v>26.042324835542317</c:v>
                </c:pt>
              </c:numCache>
            </c:numRef>
          </c:val>
          <c:smooth val="0"/>
        </c:ser>
        <c:dLbls>
          <c:showLegendKey val="0"/>
          <c:showVal val="0"/>
          <c:showCatName val="0"/>
          <c:showSerName val="0"/>
          <c:showPercent val="0"/>
          <c:showBubbleSize val="0"/>
        </c:dLbls>
        <c:smooth val="0"/>
        <c:axId val="159589048"/>
        <c:axId val="159588656"/>
        <c:extLst>
          <c:ext xmlns:c15="http://schemas.microsoft.com/office/drawing/2012/chart" uri="{02D57815-91ED-43cb-92C2-25804820EDAC}">
            <c15:filteredLineSeries>
              <c15:ser>
                <c:idx val="4"/>
                <c:order val="4"/>
                <c:tx>
                  <c:strRef>
                    <c:extLst>
                      <c:ext uri="{02D57815-91ED-43cb-92C2-25804820EDAC}">
                        <c15:formulaRef>
                          <c15:sqref>'[Graf-gibanje glavnih kazalnikov za svetovalne inženiringe.xlsx]List1'!$B$1</c15:sqref>
                        </c15:formulaRef>
                      </c:ext>
                    </c:extLst>
                    <c:strCache>
                      <c:ptCount val="1"/>
                      <c:pt idx="0">
                        <c:v>2007</c:v>
                      </c:pt>
                    </c:strCache>
                  </c:strRef>
                </c:tx>
                <c:spPr>
                  <a:ln w="28575" cap="rnd">
                    <a:solidFill>
                      <a:schemeClr val="accent4">
                        <a:lumMod val="60000"/>
                      </a:schemeClr>
                    </a:solidFill>
                    <a:round/>
                  </a:ln>
                  <a:effectLst/>
                </c:spPr>
                <c:marker>
                  <c:symbol val="none"/>
                </c:marker>
                <c:cat>
                  <c:numRef>
                    <c:extLst>
                      <c:ext uri="{02D57815-91ED-43cb-92C2-25804820EDAC}">
                        <c15:formulaRef>
                          <c15:sqref>'[Graf-gibanje glavnih kazalnikov za svetovalne inženiringe.xlsx]List1'!$B$1:$I$1</c15:sqref>
                        </c15:formulaRef>
                      </c:ext>
                    </c:extLst>
                    <c:numCache>
                      <c:formatCode>General</c:formatCode>
                      <c:ptCount val="8"/>
                      <c:pt idx="0">
                        <c:v>2007</c:v>
                      </c:pt>
                      <c:pt idx="1">
                        <c:v>2008</c:v>
                      </c:pt>
                      <c:pt idx="2">
                        <c:v>2009</c:v>
                      </c:pt>
                      <c:pt idx="3">
                        <c:v>2010</c:v>
                      </c:pt>
                      <c:pt idx="4">
                        <c:v>2011</c:v>
                      </c:pt>
                      <c:pt idx="5">
                        <c:v>2012</c:v>
                      </c:pt>
                      <c:pt idx="6">
                        <c:v>2013</c:v>
                      </c:pt>
                      <c:pt idx="7">
                        <c:v>2014</c:v>
                      </c:pt>
                    </c:numCache>
                  </c:numRef>
                </c:cat>
                <c:val>
                  <c:numRef>
                    <c:extLst>
                      <c:ext uri="{02D57815-91ED-43cb-92C2-25804820EDAC}">
                        <c15:formulaRef>
                          <c15:sqref>'[Graf-gibanje glavnih kazalnikov za svetovalne inženiringe.xlsx]List1'!$C$1:$I$1</c15:sqref>
                        </c15:formulaRef>
                      </c:ext>
                    </c:extLst>
                    <c:numCache>
                      <c:formatCode>General</c:formatCode>
                      <c:ptCount val="7"/>
                      <c:pt idx="0">
                        <c:v>2008</c:v>
                      </c:pt>
                      <c:pt idx="1">
                        <c:v>2009</c:v>
                      </c:pt>
                      <c:pt idx="2">
                        <c:v>2010</c:v>
                      </c:pt>
                      <c:pt idx="3">
                        <c:v>2011</c:v>
                      </c:pt>
                      <c:pt idx="4">
                        <c:v>2012</c:v>
                      </c:pt>
                      <c:pt idx="5">
                        <c:v>2013</c:v>
                      </c:pt>
                      <c:pt idx="6">
                        <c:v>2014</c:v>
                      </c:pt>
                    </c:numCache>
                  </c:numRef>
                </c:val>
                <c:smooth val="0"/>
              </c15:ser>
            </c15:filteredLineSeries>
          </c:ext>
        </c:extLst>
      </c:lineChart>
      <c:catAx>
        <c:axId val="15958904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Leto</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9588656"/>
        <c:crosses val="autoZero"/>
        <c:auto val="1"/>
        <c:lblAlgn val="ctr"/>
        <c:lblOffset val="100"/>
        <c:noMultiLvlLbl val="0"/>
      </c:catAx>
      <c:valAx>
        <c:axId val="15958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Indeks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9589048"/>
        <c:crosses val="autoZero"/>
        <c:crossBetween val="between"/>
      </c:valAx>
      <c:spPr>
        <a:noFill/>
        <a:ln>
          <a:noFill/>
        </a:ln>
        <a:effectLst/>
      </c:spPr>
    </c:plotArea>
    <c:legend>
      <c:legendPos val="b"/>
      <c:layout>
        <c:manualLayout>
          <c:xMode val="edge"/>
          <c:yMode val="edge"/>
          <c:x val="0.34558858267716536"/>
          <c:y val="0.1851829979585885"/>
          <c:w val="0.65048928258967631"/>
          <c:h val="0.30555774278215225"/>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sl-SI" sz="1200" b="1">
                <a:solidFill>
                  <a:schemeClr val="tx1"/>
                </a:solidFill>
              </a:rPr>
              <a:t>Vlaganja DARS</a:t>
            </a:r>
            <a:r>
              <a:rPr lang="sl-SI" sz="1200" b="1" baseline="0">
                <a:solidFill>
                  <a:schemeClr val="tx1"/>
                </a:solidFill>
              </a:rPr>
              <a:t> v gradnjo in obnove avtocest 2008 - 2015</a:t>
            </a:r>
            <a:endParaRPr lang="sl-SI" sz="1200" b="1">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List1!$B$15:$B$22</c:f>
              <c:numCache>
                <c:formatCode>General</c:formatCode>
                <c:ptCount val="8"/>
                <c:pt idx="0">
                  <c:v>2008</c:v>
                </c:pt>
                <c:pt idx="1">
                  <c:v>2009</c:v>
                </c:pt>
                <c:pt idx="2">
                  <c:v>2010</c:v>
                </c:pt>
                <c:pt idx="3">
                  <c:v>2011</c:v>
                </c:pt>
                <c:pt idx="4">
                  <c:v>2012</c:v>
                </c:pt>
                <c:pt idx="5">
                  <c:v>2013</c:v>
                </c:pt>
                <c:pt idx="6">
                  <c:v>2014</c:v>
                </c:pt>
                <c:pt idx="7">
                  <c:v>2015</c:v>
                </c:pt>
              </c:numCache>
            </c:numRef>
          </c:cat>
          <c:val>
            <c:numRef>
              <c:f>List1!$C$15:$C$22</c:f>
              <c:numCache>
                <c:formatCode>General</c:formatCode>
                <c:ptCount val="8"/>
                <c:pt idx="0">
                  <c:v>590</c:v>
                </c:pt>
                <c:pt idx="1">
                  <c:v>378</c:v>
                </c:pt>
                <c:pt idx="2">
                  <c:v>198</c:v>
                </c:pt>
                <c:pt idx="3">
                  <c:v>75</c:v>
                </c:pt>
                <c:pt idx="4">
                  <c:v>89</c:v>
                </c:pt>
                <c:pt idx="5">
                  <c:v>50</c:v>
                </c:pt>
                <c:pt idx="6">
                  <c:v>75</c:v>
                </c:pt>
                <c:pt idx="7">
                  <c:v>98</c:v>
                </c:pt>
              </c:numCache>
            </c:numRef>
          </c:val>
        </c:ser>
        <c:dLbls>
          <c:showLegendKey val="0"/>
          <c:showVal val="0"/>
          <c:showCatName val="0"/>
          <c:showSerName val="0"/>
          <c:showPercent val="0"/>
          <c:showBubbleSize val="0"/>
        </c:dLbls>
        <c:gapWidth val="219"/>
        <c:overlap val="-27"/>
        <c:axId val="159588264"/>
        <c:axId val="160547600"/>
      </c:barChart>
      <c:catAx>
        <c:axId val="1595882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sl-SI" b="1">
                    <a:solidFill>
                      <a:schemeClr val="tx1"/>
                    </a:solidFill>
                  </a:rPr>
                  <a:t>Leto</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0547600"/>
        <c:crosses val="autoZero"/>
        <c:auto val="1"/>
        <c:lblAlgn val="ctr"/>
        <c:lblOffset val="100"/>
        <c:noMultiLvlLbl val="0"/>
      </c:catAx>
      <c:valAx>
        <c:axId val="160547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sl-SI" b="1">
                    <a:solidFill>
                      <a:schemeClr val="tx1"/>
                    </a:solidFill>
                  </a:rPr>
                  <a:t>v</a:t>
                </a:r>
                <a:r>
                  <a:rPr lang="sl-SI" b="1" baseline="0">
                    <a:solidFill>
                      <a:schemeClr val="tx1"/>
                    </a:solidFill>
                  </a:rPr>
                  <a:t> mio EUR</a:t>
                </a:r>
                <a:endParaRPr lang="sl-SI" b="1">
                  <a:solidFill>
                    <a:schemeClr val="tx1"/>
                  </a:solidFill>
                </a:endParaRP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59588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0.7818</cdr:x>
      <cdr:y>0.30359</cdr:y>
    </cdr:from>
    <cdr:to>
      <cdr:x>0.91762</cdr:x>
      <cdr:y>0.40257</cdr:y>
    </cdr:to>
    <cdr:sp macro="" textlink="">
      <cdr:nvSpPr>
        <cdr:cNvPr id="2" name="PoljeZBesedilom 4"/>
        <cdr:cNvSpPr txBox="1"/>
      </cdr:nvSpPr>
      <cdr:spPr>
        <a:xfrm xmlns:a="http://schemas.openxmlformats.org/drawingml/2006/main">
          <a:off x="3485043" y="746047"/>
          <a:ext cx="605445" cy="243239"/>
        </a:xfrm>
        <a:prstGeom xmlns:a="http://schemas.openxmlformats.org/drawingml/2006/main" prst="rect">
          <a:avLst/>
        </a:prstGeom>
        <a:solidFill xmlns:a="http://schemas.openxmlformats.org/drawingml/2006/main">
          <a:sysClr val="window" lastClr="FFFFFF"/>
        </a:solidFill>
        <a:ln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sl-SI" sz="1200" b="1">
              <a:solidFill>
                <a:srgbClr val="FF0000"/>
              </a:solidFill>
            </a:rPr>
            <a:t> - 25%</a:t>
          </a:r>
        </a:p>
      </cdr:txBody>
    </cdr:sp>
  </cdr:relSizeAnchor>
  <cdr:relSizeAnchor xmlns:cdr="http://schemas.openxmlformats.org/drawingml/2006/chartDrawing">
    <cdr:from>
      <cdr:x>0.57952</cdr:x>
      <cdr:y>0.28162</cdr:y>
    </cdr:from>
    <cdr:to>
      <cdr:x>0.71534</cdr:x>
      <cdr:y>0.3806</cdr:y>
    </cdr:to>
    <cdr:sp macro="" textlink="">
      <cdr:nvSpPr>
        <cdr:cNvPr id="4" name="PoljeZBesedilom 4"/>
        <cdr:cNvSpPr txBox="1"/>
      </cdr:nvSpPr>
      <cdr:spPr>
        <a:xfrm xmlns:a="http://schemas.openxmlformats.org/drawingml/2006/main">
          <a:off x="2583343" y="692072"/>
          <a:ext cx="605445" cy="243239"/>
        </a:xfrm>
        <a:prstGeom xmlns:a="http://schemas.openxmlformats.org/drawingml/2006/main" prst="rect">
          <a:avLst/>
        </a:prstGeom>
        <a:solidFill xmlns:a="http://schemas.openxmlformats.org/drawingml/2006/main">
          <a:sysClr val="window" lastClr="FFFFFF"/>
        </a:solidFill>
        <a:ln xmlns:a="http://schemas.openxmlformats.org/drawingml/2006/mai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sl-SI" sz="1200" b="1">
              <a:solidFill>
                <a:srgbClr val="FF0000"/>
              </a:solidFill>
            </a:rPr>
            <a:t>- 30%</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00836A-0A6E-4F25-931D-42973FD0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3365</Words>
  <Characters>19186</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dc:creator>
  <cp:lastModifiedBy>Slovenko Henigman</cp:lastModifiedBy>
  <cp:revision>5</cp:revision>
  <cp:lastPrinted>2015-09-28T06:46:00Z</cp:lastPrinted>
  <dcterms:created xsi:type="dcterms:W3CDTF">2015-09-28T06:34:00Z</dcterms:created>
  <dcterms:modified xsi:type="dcterms:W3CDTF">2015-09-30T13:21:00Z</dcterms:modified>
</cp:coreProperties>
</file>