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2F" w:rsidRPr="00677EA9" w:rsidRDefault="005E152F" w:rsidP="005E152F">
      <w:pPr>
        <w:tabs>
          <w:tab w:val="center" w:pos="4153"/>
          <w:tab w:val="right" w:pos="8306"/>
        </w:tabs>
        <w:spacing w:line="360" w:lineRule="auto"/>
        <w:rPr>
          <w:rFonts w:ascii="Times New Roman" w:eastAsia="Times New Roman" w:hAnsi="Times New Roman"/>
          <w:b/>
          <w:bCs/>
          <w:sz w:val="72"/>
          <w:szCs w:val="56"/>
          <w:lang w:val="sk-SK" w:eastAsia="sl-SI"/>
        </w:rPr>
      </w:pPr>
      <w:bookmarkStart w:id="0" w:name="_GoBack"/>
      <w:bookmarkEnd w:id="0"/>
      <w:r w:rsidRPr="00677EA9">
        <w:rPr>
          <w:rFonts w:ascii="Times New Roman" w:eastAsia="Times New Roman" w:hAnsi="Times New Roman"/>
          <w:b/>
          <w:bCs/>
          <w:sz w:val="72"/>
          <w:szCs w:val="56"/>
          <w:lang w:val="sk-SK" w:eastAsia="sl-SI"/>
        </w:rPr>
        <w:tab/>
      </w:r>
      <w:r w:rsidRPr="00677EA9">
        <w:rPr>
          <w:rFonts w:ascii="Times New Roman" w:eastAsia="Times New Roman" w:hAnsi="Times New Roman"/>
          <w:b/>
          <w:bCs/>
          <w:sz w:val="72"/>
          <w:szCs w:val="56"/>
          <w:lang w:val="sk-SK" w:eastAsia="sl-SI"/>
        </w:rPr>
        <w:tab/>
        <w:t xml:space="preserve">     </w:t>
      </w:r>
    </w:p>
    <w:p w:rsidR="005E152F" w:rsidRPr="00677EA9" w:rsidRDefault="005E152F" w:rsidP="005E152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ERASMUS+ - SECTOR SKILSS ALLIANCE</w:t>
      </w:r>
    </w:p>
    <w:p w:rsidR="005E152F" w:rsidRPr="00677EA9" w:rsidRDefault="005E152F" w:rsidP="005E152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</w:p>
    <w:p w:rsidR="005E152F" w:rsidRPr="00677EA9" w:rsidRDefault="005E152F" w:rsidP="005E152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[TRVANIE: November 2014 – OKTÓBER 2017]</w:t>
      </w:r>
    </w:p>
    <w:p w:rsidR="005E152F" w:rsidRPr="00677EA9" w:rsidRDefault="005E152F" w:rsidP="005E152F">
      <w:pPr>
        <w:spacing w:line="36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</w:p>
    <w:p w:rsidR="005E152F" w:rsidRPr="00677EA9" w:rsidRDefault="005E152F" w:rsidP="005E152F">
      <w:pPr>
        <w:spacing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val="sk-SK" w:eastAsia="sl-SI"/>
        </w:rPr>
      </w:pPr>
      <w:r w:rsidRPr="00677EA9">
        <w:rPr>
          <w:rFonts w:ascii="Times New Roman" w:eastAsia="Times New Roman" w:hAnsi="Times New Roman"/>
          <w:bCs/>
          <w:sz w:val="32"/>
          <w:szCs w:val="32"/>
          <w:lang w:val="sk-SK" w:eastAsia="sl-SI"/>
        </w:rPr>
        <w:t>Jednotka vzdelávacích výstupov</w:t>
      </w:r>
    </w:p>
    <w:p w:rsidR="005E152F" w:rsidRPr="00677EA9" w:rsidRDefault="005E152F" w:rsidP="005E152F">
      <w:pPr>
        <w:spacing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val="sk-SK" w:eastAsia="sl-SI"/>
        </w:rPr>
      </w:pPr>
      <w:r w:rsidRPr="00677EA9">
        <w:rPr>
          <w:rFonts w:ascii="Times New Roman" w:eastAsia="SimSun" w:hAnsi="Times New Roman"/>
          <w:b/>
          <w:bCs/>
          <w:i/>
          <w:sz w:val="72"/>
          <w:szCs w:val="72"/>
          <w:lang w:val="sk-SK" w:eastAsia="sl-SI"/>
        </w:rPr>
        <w:t xml:space="preserve">Čítanie technickej dokumentácie - </w:t>
      </w:r>
      <w:r>
        <w:rPr>
          <w:rFonts w:ascii="Times New Roman" w:eastAsia="SimSun" w:hAnsi="Times New Roman"/>
          <w:b/>
          <w:bCs/>
          <w:i/>
          <w:sz w:val="72"/>
          <w:szCs w:val="72"/>
          <w:lang w:val="sk-SK" w:eastAsia="sl-SI"/>
        </w:rPr>
        <w:t>elektrotechnika</w:t>
      </w:r>
    </w:p>
    <w:p w:rsidR="005E152F" w:rsidRPr="00677EA9" w:rsidRDefault="005E152F" w:rsidP="005E152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[PRACOVNÝ BALÍK 3: Návrh spoločného vzdelávacieho programu]</w:t>
      </w:r>
    </w:p>
    <w:p w:rsidR="005E152F" w:rsidRPr="00677EA9" w:rsidRDefault="005E152F" w:rsidP="005E152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[VÝSTUP 3.1 a 3.2: jednotka vzdelávacích výstupov]</w:t>
      </w:r>
    </w:p>
    <w:p w:rsidR="005E152F" w:rsidRPr="00677EA9" w:rsidRDefault="005E152F" w:rsidP="005E152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VYPRACOVAL: P8-ŠIOV SLOVENSKO</w:t>
      </w:r>
    </w:p>
    <w:p w:rsidR="005E152F" w:rsidRPr="00677EA9" w:rsidRDefault="005E152F" w:rsidP="005E152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</w:p>
    <w:p w:rsidR="005E152F" w:rsidRPr="00677EA9" w:rsidRDefault="005E152F" w:rsidP="005E152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December 2015</w:t>
      </w:r>
    </w:p>
    <w:p w:rsidR="005E152F" w:rsidRPr="00677EA9" w:rsidRDefault="005E152F" w:rsidP="005E152F">
      <w:pPr>
        <w:rPr>
          <w:rFonts w:ascii="Times New Roman" w:hAnsi="Times New Roman"/>
          <w:sz w:val="24"/>
          <w:szCs w:val="24"/>
          <w:lang w:val="sk-SK"/>
        </w:rPr>
      </w:pPr>
    </w:p>
    <w:p w:rsidR="005E152F" w:rsidRPr="00677EA9" w:rsidRDefault="005E152F" w:rsidP="005E152F">
      <w:pPr>
        <w:rPr>
          <w:rFonts w:ascii="Times New Roman" w:hAnsi="Times New Roman"/>
          <w:sz w:val="24"/>
          <w:szCs w:val="24"/>
          <w:lang w:val="sk-SK"/>
        </w:rPr>
      </w:pPr>
    </w:p>
    <w:p w:rsidR="005E152F" w:rsidRPr="00677EA9" w:rsidRDefault="005E152F" w:rsidP="005E152F">
      <w:pPr>
        <w:rPr>
          <w:rFonts w:ascii="Times New Roman" w:hAnsi="Times New Roman"/>
          <w:b/>
          <w:i/>
          <w:sz w:val="28"/>
          <w:szCs w:val="28"/>
          <w:lang w:val="sk-SK"/>
        </w:rPr>
      </w:pPr>
    </w:p>
    <w:p w:rsidR="005E152F" w:rsidRPr="00677EA9" w:rsidRDefault="005E152F" w:rsidP="005E152F">
      <w:pPr>
        <w:rPr>
          <w:rFonts w:ascii="Times New Roman" w:hAnsi="Times New Roman"/>
          <w:b/>
          <w:sz w:val="24"/>
          <w:szCs w:val="24"/>
          <w:lang w:val="sk-SK"/>
        </w:rPr>
      </w:pPr>
    </w:p>
    <w:p w:rsidR="005E152F" w:rsidRPr="00677EA9" w:rsidRDefault="005E152F" w:rsidP="005E152F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lang w:val="sk-SK"/>
        </w:rPr>
      </w:pPr>
      <w:r w:rsidRPr="00677EA9">
        <w:rPr>
          <w:rFonts w:ascii="Times New Roman" w:hAnsi="Times New Roman"/>
          <w:b/>
          <w:sz w:val="24"/>
          <w:szCs w:val="24"/>
          <w:lang w:val="sk-SK"/>
        </w:rPr>
        <w:t>Opis krátkeho vzdelávacieho programu</w:t>
      </w:r>
    </w:p>
    <w:p w:rsidR="005E152F" w:rsidRPr="00677EA9" w:rsidRDefault="005E152F" w:rsidP="005E152F">
      <w:pPr>
        <w:rPr>
          <w:rFonts w:ascii="Times New Roman" w:hAnsi="Times New Roman"/>
          <w:sz w:val="24"/>
          <w:szCs w:val="24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7"/>
        <w:gridCol w:w="11023"/>
      </w:tblGrid>
      <w:tr w:rsidR="005E152F" w:rsidRPr="00677EA9" w:rsidTr="00661597">
        <w:trPr>
          <w:trHeight w:val="2069"/>
        </w:trPr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Vzdelávacie výstupy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5E152F" w:rsidRPr="00677EA9" w:rsidRDefault="005E152F" w:rsidP="00AB0AA3">
            <w:pPr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Učiaci sa je schopný:</w:t>
            </w:r>
          </w:p>
          <w:p w:rsidR="005E152F" w:rsidRPr="00677EA9" w:rsidRDefault="005E152F" w:rsidP="00AB0AA3">
            <w:pPr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</w:p>
          <w:p w:rsidR="005E152F" w:rsidRPr="00677EA9" w:rsidRDefault="005E152F" w:rsidP="00AB0AA3">
            <w:pPr>
              <w:numPr>
                <w:ilvl w:val="0"/>
                <w:numId w:val="1"/>
              </w:numPr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identifikovať </w:t>
            </w:r>
            <w:r w:rsidR="00E2740A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a </w:t>
            </w:r>
            <w:r w:rsidR="00661597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interpretovať</w:t>
            </w:r>
            <w:r w:rsidR="00E2740A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typ </w:t>
            </w:r>
            <w:r w:rsidR="00661597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normalizovanej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dokumentácie;</w:t>
            </w:r>
          </w:p>
          <w:p w:rsidR="005E152F" w:rsidRPr="00677EA9" w:rsidRDefault="00661597" w:rsidP="00AB0AA3">
            <w:pPr>
              <w:numPr>
                <w:ilvl w:val="0"/>
                <w:numId w:val="1"/>
              </w:numPr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opísať elektrické, elektronické a magnetické prístroje, inštalácie, zariadenia, ich funkcionality z predloženej dokumentácie</w:t>
            </w:r>
            <w:r w:rsidR="005E152F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;</w:t>
            </w:r>
          </w:p>
          <w:p w:rsidR="005E152F" w:rsidRPr="00677EA9" w:rsidRDefault="00661597" w:rsidP="00661597">
            <w:pPr>
              <w:numPr>
                <w:ilvl w:val="0"/>
                <w:numId w:val="1"/>
              </w:numPr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opísať a vykonať merania a diagnostiku. </w:t>
            </w:r>
          </w:p>
        </w:tc>
      </w:tr>
      <w:tr w:rsidR="005E152F" w:rsidRPr="00677EA9" w:rsidTr="00AB0AA3">
        <w:trPr>
          <w:trHeight w:val="77"/>
        </w:trPr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Vzťah k národnej kvalifikácii/vzdelania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EKR/NKR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SI: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4/5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LV: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4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SK: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3/4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HR: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4.2 podľa CROQF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       4.1 podľa CROQF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       4 podľa EKR </w:t>
            </w:r>
          </w:p>
        </w:tc>
      </w:tr>
      <w:tr w:rsidR="005E152F" w:rsidRPr="00677EA9" w:rsidTr="00AB0AA3"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Prepojenie na existujúce vzdelávacie programy</w:t>
            </w:r>
          </w:p>
        </w:tc>
        <w:tc>
          <w:tcPr>
            <w:tcW w:w="3876" w:type="pct"/>
            <w:shd w:val="clear" w:color="auto" w:fill="auto"/>
          </w:tcPr>
          <w:p w:rsidR="005E152F" w:rsidRPr="00677EA9" w:rsidRDefault="005E152F" w:rsidP="00AB0AA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  <w:t xml:space="preserve">SI: 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>Elektrotechnik, mechatronik, počítačový technik</w:t>
            </w:r>
          </w:p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  <w:t xml:space="preserve">LV: 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Programy 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priemyselného strojárstva (4 roky po ukončení  primárneho vzdelania (4 roky po ukončení primárneho vzdelania; 1,5 roka po ukončení sekundárneho vzdelania):</w:t>
            </w:r>
          </w:p>
          <w:p w:rsidR="005E152F" w:rsidRPr="00677EA9" w:rsidRDefault="005E152F" w:rsidP="005E152F">
            <w:pPr>
              <w:pStyle w:val="Odstavekseznama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operátor CNC strojov</w:t>
            </w:r>
          </w:p>
          <w:p w:rsidR="005E152F" w:rsidRPr="00677EA9" w:rsidRDefault="005E152F" w:rsidP="005E152F">
            <w:pPr>
              <w:pStyle w:val="Odstavekseznama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Strojársky mechanik</w:t>
            </w:r>
          </w:p>
          <w:p w:rsidR="005E152F" w:rsidRPr="00677EA9" w:rsidRDefault="005E152F" w:rsidP="005E152F">
            <w:pPr>
              <w:pStyle w:val="Odstavekseznama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Strojársky technik</w:t>
            </w:r>
          </w:p>
          <w:p w:rsidR="005E152F" w:rsidRPr="00677EA9" w:rsidRDefault="005E152F" w:rsidP="005E152F">
            <w:pPr>
              <w:pStyle w:val="Odstavekseznama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T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echnik mechatronik  </w:t>
            </w:r>
          </w:p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  <w:t xml:space="preserve">SK: 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Elektrotechnika – elektroinštalácie, 4 roky s maturitou</w:t>
            </w:r>
          </w:p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       Elektromechanik, 3 roky so záverečnou skúškou a výučným listom</w:t>
            </w:r>
          </w:p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       Mechanické strojárstvo, 4 roky s maturitou</w:t>
            </w:r>
          </w:p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       Mechanik-nastavovač, 4 roky s maturitou a výučným listom</w:t>
            </w:r>
          </w:p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       Nástrojár, 3 roky so záverečnou skúškou a výučným listom</w:t>
            </w:r>
          </w:p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       Strojárska výroba, 3 roky so záverečnou skúškou a výučným listom </w:t>
            </w:r>
          </w:p>
          <w:p w:rsidR="005E152F" w:rsidRDefault="005E152F" w:rsidP="00AB0AA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  <w:lastRenderedPageBreak/>
              <w:t xml:space="preserve">HR: </w:t>
            </w:r>
          </w:p>
          <w:p w:rsidR="005E152F" w:rsidRPr="00677EA9" w:rsidRDefault="005E152F" w:rsidP="00AB0AA3">
            <w:pPr>
              <w:pStyle w:val="Odstavekseznam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Počítačový technik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4 roky</w:t>
            </w:r>
          </w:p>
          <w:p w:rsidR="005E152F" w:rsidRPr="00677EA9" w:rsidRDefault="005E152F" w:rsidP="00AB0AA3">
            <w:pPr>
              <w:pStyle w:val="Odstavekseznam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Technik mechatronik  4 roky</w:t>
            </w:r>
          </w:p>
          <w:p w:rsidR="005E152F" w:rsidRPr="00677EA9" w:rsidRDefault="005E152F" w:rsidP="00AB0AA3">
            <w:pPr>
              <w:pStyle w:val="Odstavekseznam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Počítačový technik v strojárstve 4 roky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</w:t>
            </w:r>
          </w:p>
          <w:p w:rsidR="005E152F" w:rsidRPr="00677EA9" w:rsidRDefault="005E152F" w:rsidP="00AB0AA3">
            <w:pPr>
              <w:pStyle w:val="Odstavekseznam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Operátor CNC strojov 3 roky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</w:t>
            </w:r>
          </w:p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</w:p>
        </w:tc>
      </w:tr>
      <w:tr w:rsidR="005E152F" w:rsidRPr="00677EA9" w:rsidTr="00AB0AA3"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lastRenderedPageBreak/>
              <w:t>ECVET kreditné body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SI: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1 ECVET bod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LV: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1 ECVET bod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SK: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1 ECVET bod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HR: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1 ECVET bod 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</w:p>
        </w:tc>
      </w:tr>
      <w:tr w:rsidR="005E152F" w:rsidRPr="00677EA9" w:rsidTr="00AB0AA3"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Hodnotiace kritériá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tbl>
            <w:tblPr>
              <w:tblW w:w="432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059"/>
              <w:gridCol w:w="5973"/>
              <w:gridCol w:w="1301"/>
            </w:tblGrid>
            <w:tr w:rsidR="005E152F" w:rsidRPr="00677EA9" w:rsidTr="00AB0AA3">
              <w:trPr>
                <w:cantSplit/>
                <w:trHeight w:val="492"/>
              </w:trPr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>Oblasť hodnotenia</w:t>
                  </w:r>
                </w:p>
              </w:tc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>Hodnotiace kritériá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>Body</w:t>
                  </w:r>
                </w:p>
              </w:tc>
            </w:tr>
            <w:tr w:rsidR="005E152F" w:rsidRPr="00677EA9" w:rsidTr="00AB0AA3">
              <w:trPr>
                <w:cantSplit/>
                <w:trHeight w:val="953"/>
              </w:trPr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>1 Plánovanie</w:t>
                  </w:r>
                </w:p>
              </w:tc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</w:pPr>
                  <w:r w:rsidRPr="00677EA9"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  <w:t xml:space="preserve">Učiaci sa si rozvrhuje činnosti založené na pochopení pochopenia pridelenej úlohy. On/a je schopný/-á samostatne identifikovať a pripraviť dostupné zdroje, nástroje a prijať také opatrenia, ktoré sú vyžadované pre vyriešenie úlohy. 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  <w:t>20</w:t>
                  </w:r>
                </w:p>
              </w:tc>
            </w:tr>
            <w:tr w:rsidR="005E152F" w:rsidRPr="00677EA9" w:rsidTr="00AB0AA3">
              <w:trPr>
                <w:cantSplit/>
                <w:trHeight w:val="1161"/>
              </w:trPr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>2 Realizácia</w:t>
                  </w:r>
                </w:p>
              </w:tc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</w:pPr>
                  <w:r w:rsidRPr="00677EA9"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  <w:t xml:space="preserve">Učiaci sa splní pridelenú úlohu. On/a koná nezávisle, aplikuje princípy hospodárnosti, kvality a bezpečnosti. Učiaci sa nezávisle hodnotí výstup(y) a prispôsobuje sa situácii. 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  <w:t>50</w:t>
                  </w:r>
                </w:p>
              </w:tc>
            </w:tr>
            <w:tr w:rsidR="005E152F" w:rsidRPr="00677EA9" w:rsidTr="00AB0AA3">
              <w:trPr>
                <w:cantSplit/>
                <w:trHeight w:val="962"/>
              </w:trPr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>3 Dokumentácia</w:t>
                  </w:r>
                </w:p>
              </w:tc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</w:pPr>
                  <w:r w:rsidRPr="00677EA9"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  <w:t xml:space="preserve">Učiaci sa pripraví všetku požadovanú dokumentáciu pre ďalšie spracovanie v súlade s princípmi TDM. 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  <w:t xml:space="preserve">15 </w:t>
                  </w:r>
                </w:p>
              </w:tc>
            </w:tr>
            <w:tr w:rsidR="005E152F" w:rsidRPr="00677EA9" w:rsidTr="00AB0AA3">
              <w:trPr>
                <w:cantSplit/>
                <w:trHeight w:val="967"/>
              </w:trPr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>4 Prezentácia</w:t>
                  </w:r>
                </w:p>
              </w:tc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</w:pPr>
                  <w:r w:rsidRPr="00677EA9"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  <w:t xml:space="preserve">Učiaci sa vykonáva a prezentuje jednotlivé fázy realizácie pridelenej úlohy systematicky, úplne a primerane. On/a využíva a rozumie správnej technickej terminológii. 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  <w:t xml:space="preserve">15 </w:t>
                  </w:r>
                </w:p>
              </w:tc>
            </w:tr>
            <w:tr w:rsidR="005E152F" w:rsidRPr="00677EA9" w:rsidTr="00AB0AA3">
              <w:trPr>
                <w:cantSplit/>
                <w:trHeight w:val="332"/>
              </w:trPr>
              <w:tc>
                <w:tcPr>
                  <w:tcW w:w="43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>SPOLU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152F" w:rsidRPr="00677EA9" w:rsidRDefault="005E152F" w:rsidP="00AB0AA3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 xml:space="preserve">100 </w:t>
                  </w:r>
                </w:p>
              </w:tc>
            </w:tr>
            <w:tr w:rsidR="005E152F" w:rsidRPr="00677EA9" w:rsidTr="00AB0AA3">
              <w:trPr>
                <w:cantSplit/>
                <w:trHeight w:val="91"/>
              </w:trPr>
              <w:tc>
                <w:tcPr>
                  <w:tcW w:w="43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5E152F" w:rsidRPr="00677EA9" w:rsidRDefault="005E152F" w:rsidP="00AB0AA3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 xml:space="preserve">                                          Minimálne kritérium úspešnosti: 60 bodov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E152F" w:rsidRPr="00677EA9" w:rsidRDefault="005E152F" w:rsidP="00AB0AA3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</w:p>
        </w:tc>
      </w:tr>
      <w:tr w:rsidR="005E152F" w:rsidRPr="00677EA9" w:rsidTr="00AB0AA3">
        <w:trPr>
          <w:trHeight w:val="530"/>
        </w:trPr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lastRenderedPageBreak/>
              <w:t>Pracovné úlohy (príloha)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Príklady. Zahŕňajú dokumentáciu s informáciou o skúške. </w:t>
            </w:r>
          </w:p>
        </w:tc>
      </w:tr>
      <w:tr w:rsidR="005E152F" w:rsidRPr="00677EA9" w:rsidTr="00AB0AA3"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Formy a metódy práce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Metódy učenia: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Skupinová práca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Samostatná práca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Praktická ukážka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Pracovné metódy: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Frontálne vyučovanie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Demonštrácia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Praktická práca, cvičenia.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Prípadové štúdie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Rozhovor a diskusia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Domáca úloha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Pozorovanie a zisťovanie</w:t>
            </w:r>
          </w:p>
          <w:p w:rsidR="005E152F" w:rsidRPr="00677EA9" w:rsidRDefault="005E152F" w:rsidP="00AB0AA3">
            <w:pPr>
              <w:numPr>
                <w:ilvl w:val="0"/>
                <w:numId w:val="3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Hodnotenie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color w:val="2E74B5"/>
                <w:sz w:val="24"/>
                <w:szCs w:val="24"/>
                <w:lang w:val="sk-SK" w:eastAsia="sl-SI"/>
              </w:rPr>
            </w:pPr>
          </w:p>
        </w:tc>
      </w:tr>
      <w:tr w:rsidR="005E152F" w:rsidRPr="00677EA9" w:rsidTr="00AB0AA3"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Materiálové podmienky praktickej prípravy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Poskytovateľ praktickej prípravy musí zabezpečiť:</w:t>
            </w:r>
          </w:p>
          <w:p w:rsidR="005E152F" w:rsidRPr="00677EA9" w:rsidRDefault="005E152F" w:rsidP="00AB0AA3">
            <w:pPr>
              <w:numPr>
                <w:ilvl w:val="0"/>
                <w:numId w:val="4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jasný a vzdušný priestor s pracovnými stolmi</w:t>
            </w:r>
          </w:p>
          <w:p w:rsidR="005E152F" w:rsidRPr="00677EA9" w:rsidRDefault="005E152F" w:rsidP="00AB0AA3">
            <w:pPr>
              <w:numPr>
                <w:ilvl w:val="0"/>
                <w:numId w:val="4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triedu s multimediálnym vybavením</w:t>
            </w:r>
          </w:p>
          <w:p w:rsidR="005E152F" w:rsidRPr="00677EA9" w:rsidRDefault="005E152F" w:rsidP="00AB0AA3">
            <w:pPr>
              <w:numPr>
                <w:ilvl w:val="0"/>
                <w:numId w:val="4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vzdelávacie materiály</w:t>
            </w:r>
          </w:p>
          <w:p w:rsidR="005E152F" w:rsidRPr="00677EA9" w:rsidRDefault="005E152F" w:rsidP="00AB0AA3">
            <w:pPr>
              <w:numPr>
                <w:ilvl w:val="0"/>
                <w:numId w:val="4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LCD projektor</w:t>
            </w:r>
          </w:p>
          <w:p w:rsidR="005E152F" w:rsidRPr="00677EA9" w:rsidRDefault="005E152F" w:rsidP="00AB0AA3">
            <w:pPr>
              <w:numPr>
                <w:ilvl w:val="0"/>
                <w:numId w:val="4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schémy, technickú dokumentáciu, manuály, produktové katalógy</w:t>
            </w:r>
          </w:p>
          <w:p w:rsidR="005E152F" w:rsidRPr="00677EA9" w:rsidRDefault="005E152F" w:rsidP="00AB0AA3">
            <w:pPr>
              <w:numPr>
                <w:ilvl w:val="0"/>
                <w:numId w:val="4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prevodové tabuľky</w:t>
            </w:r>
          </w:p>
          <w:p w:rsidR="005E152F" w:rsidRPr="00677EA9" w:rsidRDefault="005E152F" w:rsidP="00AB0AA3">
            <w:pPr>
              <w:numPr>
                <w:ilvl w:val="0"/>
                <w:numId w:val="4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kresliace pomôcky, rysovacie pomôcky</w:t>
            </w:r>
          </w:p>
          <w:p w:rsidR="005E152F" w:rsidRPr="00677EA9" w:rsidRDefault="005E152F" w:rsidP="00AB0AA3">
            <w:pPr>
              <w:numPr>
                <w:ilvl w:val="0"/>
                <w:numId w:val="4"/>
              </w:num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meracie nástroje a prístroje.</w:t>
            </w:r>
          </w:p>
          <w:p w:rsidR="005E152F" w:rsidRPr="00677EA9" w:rsidRDefault="005E152F" w:rsidP="00AB0AA3">
            <w:pPr>
              <w:ind w:left="360"/>
              <w:rPr>
                <w:rFonts w:ascii="Times New Roman" w:eastAsia="SimSun" w:hAnsi="Times New Roman"/>
                <w:b/>
                <w:color w:val="2E74B5"/>
                <w:sz w:val="24"/>
                <w:szCs w:val="24"/>
                <w:lang w:val="sk-SK" w:eastAsia="sl-SI"/>
              </w:rPr>
            </w:pPr>
          </w:p>
        </w:tc>
      </w:tr>
      <w:tr w:rsidR="005E152F" w:rsidRPr="00677EA9" w:rsidTr="00AB0AA3">
        <w:trPr>
          <w:trHeight w:val="815"/>
        </w:trPr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Požiadavky na pedagogického zamestnanca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Odborná príprava a skúška môžu byť vykonané iba osobou so zodpovedajúcimi profesijnými a pedagogickými kompetenciami v</w:t>
            </w: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 súlade s platnou legislatívou.</w:t>
            </w:r>
          </w:p>
        </w:tc>
      </w:tr>
      <w:tr w:rsidR="005E152F" w:rsidRPr="00677EA9" w:rsidTr="00AB0AA3">
        <w:trPr>
          <w:trHeight w:val="509"/>
        </w:trPr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lastRenderedPageBreak/>
              <w:t>Rámcový učebný plán (odborná škola)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Platná legislatíva vzťahujúca sa na vzdelávanie na stredných odborných školách v súlade s príslušným povolaním. </w:t>
            </w:r>
          </w:p>
        </w:tc>
      </w:tr>
      <w:tr w:rsidR="005E152F" w:rsidRPr="00677EA9" w:rsidTr="00AB0AA3">
        <w:trPr>
          <w:trHeight w:val="465"/>
        </w:trPr>
        <w:tc>
          <w:tcPr>
            <w:tcW w:w="1124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Rámcový učebný plán (na pracovisku)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Platná legislatíva vzťahujúca sa na ďalšie vzdelávanie na pracovisku v súlade s príslušným povolaním.</w:t>
            </w:r>
          </w:p>
        </w:tc>
      </w:tr>
    </w:tbl>
    <w:p w:rsidR="005E152F" w:rsidRPr="00677EA9" w:rsidRDefault="005E152F" w:rsidP="005E152F">
      <w:pPr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:rsidR="005E152F" w:rsidRPr="00677EA9" w:rsidRDefault="005E152F" w:rsidP="005E152F">
      <w:pPr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677EA9">
        <w:rPr>
          <w:rFonts w:ascii="Times New Roman" w:hAnsi="Times New Roman"/>
          <w:b/>
          <w:sz w:val="24"/>
          <w:szCs w:val="24"/>
          <w:u w:val="single"/>
          <w:lang w:val="sk-SK"/>
        </w:rPr>
        <w:t>Dodatok: pracovné úlohy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7938"/>
      </w:tblGrid>
      <w:tr w:rsidR="005E152F" w:rsidRPr="00677EA9" w:rsidTr="00AB0AA3">
        <w:tc>
          <w:tcPr>
            <w:tcW w:w="5495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/>
              </w:rPr>
              <w:t>Vzdelávacie výstupy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/>
              </w:rPr>
              <w:t>Pracovné úlohy</w:t>
            </w:r>
          </w:p>
        </w:tc>
      </w:tr>
      <w:tr w:rsidR="005E152F" w:rsidRPr="00677EA9" w:rsidTr="00AB0AA3">
        <w:tc>
          <w:tcPr>
            <w:tcW w:w="5495" w:type="dxa"/>
            <w:shd w:val="clear" w:color="auto" w:fill="auto"/>
            <w:vAlign w:val="center"/>
          </w:tcPr>
          <w:p w:rsidR="00394CD5" w:rsidRPr="00677EA9" w:rsidRDefault="00394CD5" w:rsidP="00394CD5">
            <w:pPr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I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dentifikovať </w:t>
            </w: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a interpretovať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typ </w:t>
            </w: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normalizovanej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dokumentácie;</w:t>
            </w:r>
          </w:p>
          <w:p w:rsidR="005E152F" w:rsidRPr="00677EA9" w:rsidRDefault="005E152F" w:rsidP="00394CD5">
            <w:pPr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1. </w:t>
            </w:r>
            <w:r w:rsidR="00DB7C93">
              <w:rPr>
                <w:rFonts w:ascii="Times New Roman" w:eastAsia="SimSun" w:hAnsi="Times New Roman"/>
                <w:sz w:val="24"/>
                <w:szCs w:val="24"/>
                <w:lang w:val="sk-SK"/>
              </w:rPr>
              <w:t>Vysvetliť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:</w:t>
            </w:r>
          </w:p>
          <w:p w:rsidR="005E152F" w:rsidRPr="00677EA9" w:rsidRDefault="005E152F" w:rsidP="00AB0AA3">
            <w:pPr>
              <w:ind w:left="284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a) </w:t>
            </w:r>
            <w:r w:rsidR="00725F31">
              <w:rPr>
                <w:rFonts w:ascii="Times New Roman" w:eastAsia="SimSun" w:hAnsi="Times New Roman"/>
                <w:sz w:val="24"/>
                <w:szCs w:val="24"/>
                <w:lang w:val="sk-SK"/>
              </w:rPr>
              <w:t>typy normalizovanej dokumentácie, štandardy</w:t>
            </w:r>
          </w:p>
          <w:p w:rsidR="005E152F" w:rsidRPr="00677EA9" w:rsidRDefault="005E152F" w:rsidP="00AB0AA3">
            <w:pPr>
              <w:ind w:left="284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b) </w:t>
            </w:r>
            <w:r w:rsidR="00725F31">
              <w:rPr>
                <w:rFonts w:ascii="Times New Roman" w:eastAsia="SimSun" w:hAnsi="Times New Roman"/>
                <w:sz w:val="24"/>
                <w:szCs w:val="24"/>
                <w:lang w:val="sk-SK"/>
              </w:rPr>
              <w:t>obsah a štruktúru normalizovanej dokumentácie</w:t>
            </w:r>
          </w:p>
          <w:p w:rsidR="005E152F" w:rsidRPr="00677EA9" w:rsidRDefault="005E152F" w:rsidP="00AB0AA3">
            <w:pPr>
              <w:ind w:left="284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c) </w:t>
            </w:r>
            <w:r w:rsidR="00725F31">
              <w:rPr>
                <w:rFonts w:ascii="Times New Roman" w:eastAsia="SimSun" w:hAnsi="Times New Roman"/>
                <w:sz w:val="24"/>
                <w:szCs w:val="24"/>
                <w:lang w:val="sk-SK"/>
              </w:rPr>
              <w:t>taxonomické termíny (funkčné prvky, jednotky atď.)</w:t>
            </w:r>
          </w:p>
          <w:p w:rsidR="005E152F" w:rsidRDefault="00725F31" w:rsidP="00725F31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/>
              </w:rPr>
              <w:t>2. Pracovať s normami/štandardmi, tabuľkami a katalógmi</w:t>
            </w:r>
          </w:p>
          <w:p w:rsidR="00725F31" w:rsidRPr="00677EA9" w:rsidRDefault="00725F31" w:rsidP="00725F31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/>
              </w:rPr>
              <w:t>3. Využitie CAD programovania v elektrotechnike</w:t>
            </w:r>
          </w:p>
        </w:tc>
      </w:tr>
      <w:tr w:rsidR="005E152F" w:rsidRPr="00677EA9" w:rsidTr="00AB0AA3">
        <w:tc>
          <w:tcPr>
            <w:tcW w:w="5495" w:type="dxa"/>
            <w:shd w:val="clear" w:color="auto" w:fill="auto"/>
            <w:vAlign w:val="center"/>
          </w:tcPr>
          <w:p w:rsidR="00394CD5" w:rsidRPr="00677EA9" w:rsidRDefault="00394CD5" w:rsidP="00394CD5">
            <w:pPr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Opísať elektrické, elektronické a magnetické prístroje, inštalácie, zariadenia, ich funkcionality z predloženej dokumentácie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;</w:t>
            </w:r>
          </w:p>
          <w:p w:rsidR="005E152F" w:rsidRPr="00677EA9" w:rsidRDefault="005E152F" w:rsidP="00394CD5">
            <w:pPr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F9205E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1. </w:t>
            </w:r>
            <w:r w:rsidR="00F9205E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Vysvetliť značky, doplňujúce značky, značky pre obvody a pasívne prvky, spínače, vypínače, radiče atď. </w:t>
            </w:r>
          </w:p>
          <w:p w:rsidR="00F9205E" w:rsidRDefault="00F9205E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2. Vysvetliť a opísať:</w:t>
            </w:r>
          </w:p>
          <w:p w:rsidR="00052712" w:rsidRDefault="00052712" w:rsidP="00052712">
            <w:pPr>
              <w:ind w:left="284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/>
              </w:rPr>
              <w:t>a) elektrické kontakty, obvody, obvodové dosky, siete</w:t>
            </w:r>
          </w:p>
          <w:p w:rsidR="00052712" w:rsidRDefault="00052712" w:rsidP="00052712">
            <w:pPr>
              <w:ind w:left="284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/>
              </w:rPr>
              <w:t>b) samostatné a integrované zariadenia – schémy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</w:t>
            </w:r>
            <w:r w:rsidR="0065168F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3. Navrhnúť jednoduchú schému obvodu</w:t>
            </w:r>
          </w:p>
        </w:tc>
      </w:tr>
      <w:tr w:rsidR="005E152F" w:rsidRPr="00677EA9" w:rsidTr="00AB0AA3">
        <w:tc>
          <w:tcPr>
            <w:tcW w:w="5495" w:type="dxa"/>
            <w:shd w:val="clear" w:color="auto" w:fill="auto"/>
            <w:vAlign w:val="center"/>
          </w:tcPr>
          <w:p w:rsidR="005E152F" w:rsidRPr="00677EA9" w:rsidRDefault="00394CD5" w:rsidP="00394CD5">
            <w:pPr>
              <w:contextualSpacing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Opísať a vykonať merania a diagnostiku.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1. </w:t>
            </w:r>
            <w:r w:rsidR="008C6CCE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Fyzika v elektrotechnike: jednotky IS, IS pre množstvo, zákony, konštanty atď. 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2. </w:t>
            </w:r>
            <w:r w:rsidR="008C6CCE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Matematika v elektrotechnike: rovnice, funkcie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3. </w:t>
            </w:r>
            <w:r w:rsidR="008C6CCE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Vysvetliť princípy a metódy merania a vyhodnocovanie dát s pomocou IKT</w:t>
            </w:r>
          </w:p>
          <w:p w:rsidR="005E152F" w:rsidRDefault="005E152F" w:rsidP="008C6CCE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4. </w:t>
            </w:r>
            <w:r w:rsidR="008C6CCE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Vykonať meranie/diagnostiku a navrhnúť a aplikovať primerané nápravné opatrenia</w:t>
            </w:r>
          </w:p>
          <w:p w:rsidR="008C6CCE" w:rsidRPr="00677EA9" w:rsidRDefault="008C6CCE" w:rsidP="008C6CCE">
            <w:pP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5. Uzemnenie, izolácia, riadenie rizík a ochrana</w:t>
            </w:r>
          </w:p>
        </w:tc>
      </w:tr>
    </w:tbl>
    <w:p w:rsidR="005E152F" w:rsidRPr="00677EA9" w:rsidRDefault="005E152F" w:rsidP="005E152F">
      <w:pPr>
        <w:rPr>
          <w:rFonts w:ascii="Times New Roman" w:hAnsi="Times New Roman"/>
          <w:sz w:val="24"/>
          <w:szCs w:val="24"/>
          <w:lang w:val="sk-SK"/>
        </w:rPr>
      </w:pPr>
    </w:p>
    <w:p w:rsidR="005E152F" w:rsidRPr="00677EA9" w:rsidRDefault="005E152F" w:rsidP="005E152F">
      <w:pPr>
        <w:rPr>
          <w:rFonts w:ascii="Times New Roman" w:hAnsi="Times New Roman"/>
          <w:sz w:val="24"/>
          <w:szCs w:val="24"/>
          <w:lang w:val="sk-SK"/>
        </w:rPr>
      </w:pPr>
    </w:p>
    <w:p w:rsidR="005E152F" w:rsidRPr="00677EA9" w:rsidRDefault="005E152F" w:rsidP="005E152F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677EA9">
        <w:rPr>
          <w:rFonts w:ascii="Times New Roman" w:hAnsi="Times New Roman"/>
          <w:b/>
          <w:sz w:val="24"/>
          <w:szCs w:val="24"/>
          <w:u w:val="single"/>
          <w:lang w:val="sk-SK"/>
        </w:rPr>
        <w:t>Hodnotenie: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7"/>
        <w:gridCol w:w="4454"/>
        <w:gridCol w:w="1846"/>
        <w:gridCol w:w="993"/>
        <w:gridCol w:w="1134"/>
        <w:gridCol w:w="850"/>
        <w:gridCol w:w="851"/>
        <w:gridCol w:w="821"/>
      </w:tblGrid>
      <w:tr w:rsidR="005E152F" w:rsidRPr="00677EA9" w:rsidTr="002735ED">
        <w:tc>
          <w:tcPr>
            <w:tcW w:w="2767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Vzdelávacie výstupy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 xml:space="preserve">Oblasť testovaných zručností a vedomostí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 xml:space="preserve">Metódy (ústna, písomný test, praktické </w:t>
            </w:r>
            <w:r w:rsidRPr="00677EA9">
              <w:rPr>
                <w:rFonts w:ascii="Times New Roman" w:eastAsia="SimSun" w:hAnsi="Times New Roman"/>
                <w:b/>
                <w:lang w:val="sk-SK"/>
              </w:rPr>
              <w:lastRenderedPageBreak/>
              <w:t xml:space="preserve">cvičenia atď.)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lastRenderedPageBreak/>
              <w:t>1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Plán.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2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Realiz.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3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Dok.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4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Prez.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SPOLU</w:t>
            </w:r>
          </w:p>
        </w:tc>
      </w:tr>
      <w:tr w:rsidR="005E152F" w:rsidRPr="00677EA9" w:rsidTr="002735ED">
        <w:tc>
          <w:tcPr>
            <w:tcW w:w="2767" w:type="dxa"/>
            <w:shd w:val="clear" w:color="auto" w:fill="auto"/>
            <w:vAlign w:val="center"/>
          </w:tcPr>
          <w:p w:rsidR="005E152F" w:rsidRPr="004C5D28" w:rsidRDefault="004C5D28" w:rsidP="004C5D2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lastRenderedPageBreak/>
              <w:t>I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dentifikovať </w:t>
            </w: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a interpretovať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typ </w:t>
            </w: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normalizovanej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dokumentácie</w:t>
            </w:r>
          </w:p>
        </w:tc>
        <w:tc>
          <w:tcPr>
            <w:tcW w:w="4454" w:type="dxa"/>
            <w:shd w:val="clear" w:color="auto" w:fill="FFFFFF"/>
            <w:vAlign w:val="center"/>
          </w:tcPr>
          <w:p w:rsidR="005E152F" w:rsidRPr="00677EA9" w:rsidRDefault="005E152F" w:rsidP="00AB0AA3">
            <w:pPr>
              <w:spacing w:before="120" w:after="120"/>
              <w:jc w:val="both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 xml:space="preserve">Rozlišovanie typov </w:t>
            </w:r>
            <w:r w:rsidR="00660F4B">
              <w:rPr>
                <w:rFonts w:ascii="Times New Roman" w:eastAsia="SimSun" w:hAnsi="Times New Roman"/>
                <w:lang w:val="sk-SK"/>
              </w:rPr>
              <w:t xml:space="preserve">normalizovanej dokumentácie (4 typy elektrotechnických schém) </w:t>
            </w:r>
            <w:r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5E152F" w:rsidRPr="00677EA9" w:rsidRDefault="00660F4B" w:rsidP="00AB0AA3">
            <w:pPr>
              <w:spacing w:before="120" w:after="120"/>
              <w:jc w:val="both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Charakteristika e</w:t>
            </w:r>
            <w:r w:rsidR="00CB0794">
              <w:rPr>
                <w:rFonts w:ascii="Times New Roman" w:eastAsia="SimSun" w:hAnsi="Times New Roman"/>
                <w:lang w:val="sk-SK"/>
              </w:rPr>
              <w:t>lektrotechnickej nomenklatúry IEV</w:t>
            </w:r>
            <w:r w:rsidR="005E152F"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5E152F" w:rsidRDefault="00660F4B" w:rsidP="00AB0AA3">
            <w:pPr>
              <w:spacing w:before="120" w:after="120"/>
              <w:jc w:val="both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 xml:space="preserve">Elektrické, elektronické a magnetické prístroje a zariadenia v kontexte (samostatné, integrované) </w:t>
            </w:r>
            <w:r w:rsidR="005E152F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CB0794" w:rsidRPr="00677EA9" w:rsidRDefault="00CB0794" w:rsidP="00AB0AA3">
            <w:pPr>
              <w:spacing w:before="120" w:after="120"/>
              <w:jc w:val="both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Používanie správnej terminológie v súlade s IEV</w:t>
            </w:r>
          </w:p>
          <w:p w:rsidR="005E152F" w:rsidRPr="00677EA9" w:rsidRDefault="00CB0794" w:rsidP="00AB0AA3">
            <w:pPr>
              <w:spacing w:before="120" w:after="120"/>
              <w:jc w:val="both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Charakteristika využitia CAD v elektrotechnike</w:t>
            </w:r>
          </w:p>
          <w:p w:rsidR="00CB0794" w:rsidRPr="00677EA9" w:rsidRDefault="00CB0794" w:rsidP="00CB0794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Nezávislé konanie</w:t>
            </w:r>
            <w:r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5E152F" w:rsidRPr="00677EA9" w:rsidRDefault="005E152F" w:rsidP="00AB0AA3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Analytic</w:t>
            </w:r>
            <w:r>
              <w:rPr>
                <w:rFonts w:ascii="Times New Roman" w:eastAsia="SimSun" w:hAnsi="Times New Roman"/>
                <w:lang w:val="sk-SK"/>
              </w:rPr>
              <w:t>ké myslenie</w:t>
            </w:r>
            <w:r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5E152F" w:rsidRPr="00677EA9" w:rsidRDefault="005E152F" w:rsidP="00AB0AA3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E</w:t>
            </w:r>
            <w:r>
              <w:rPr>
                <w:rFonts w:ascii="Times New Roman" w:eastAsia="SimSun" w:hAnsi="Times New Roman"/>
                <w:lang w:val="sk-SK"/>
              </w:rPr>
              <w:t xml:space="preserve">fektívnosť riešenia problémov </w:t>
            </w:r>
            <w:r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5E152F" w:rsidRPr="00677EA9" w:rsidRDefault="005E152F" w:rsidP="00AB0AA3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Udržiavanie poriadku na pracovisku</w:t>
            </w:r>
          </w:p>
          <w:p w:rsidR="005E152F" w:rsidRPr="00677EA9" w:rsidRDefault="005E152F" w:rsidP="00AB0AA3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Správna manipulácia s technickou dokumentáciou</w:t>
            </w:r>
            <w:r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písomný test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ústna – praktický príklad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E152F" w:rsidRPr="00677EA9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152F" w:rsidRPr="00677EA9" w:rsidRDefault="00660F4B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152F" w:rsidRPr="00677EA9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152F" w:rsidRPr="00677EA9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5E152F" w:rsidRPr="00677EA9" w:rsidRDefault="00660F4B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20</w:t>
            </w:r>
          </w:p>
        </w:tc>
      </w:tr>
      <w:tr w:rsidR="005E152F" w:rsidRPr="00677EA9" w:rsidTr="002735ED">
        <w:trPr>
          <w:trHeight w:val="5486"/>
        </w:trPr>
        <w:tc>
          <w:tcPr>
            <w:tcW w:w="2767" w:type="dxa"/>
            <w:shd w:val="clear" w:color="auto" w:fill="auto"/>
            <w:vAlign w:val="center"/>
          </w:tcPr>
          <w:p w:rsidR="005E152F" w:rsidRPr="004C5D28" w:rsidRDefault="004C5D28" w:rsidP="004C5D2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lastRenderedPageBreak/>
              <w:t>Opísať elektrické, elektronické a magnetické prístroje, inštalácie, zariadenia, ich funkcionality z predloženej dokumentácie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5E152F" w:rsidRPr="007038A1" w:rsidRDefault="005E152F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>Výber nástrojov a pomôcok (prevodové tabuľky, pomôcky, medzinárodné/národné normy/štandardy)</w:t>
            </w:r>
          </w:p>
          <w:p w:rsidR="005E152F" w:rsidRPr="007038A1" w:rsidRDefault="005E152F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Interpretácia </w:t>
            </w:r>
            <w:r w:rsidR="002735ED">
              <w:rPr>
                <w:rFonts w:ascii="Times New Roman" w:eastAsia="SimSun" w:hAnsi="Times New Roman"/>
                <w:lang w:val="sk-SK"/>
              </w:rPr>
              <w:t>symbolov zo schémy</w:t>
            </w:r>
          </w:p>
          <w:p w:rsidR="005E152F" w:rsidRPr="007038A1" w:rsidRDefault="005E152F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Interpretácia </w:t>
            </w:r>
            <w:r w:rsidR="002735ED">
              <w:rPr>
                <w:rFonts w:ascii="Times New Roman" w:eastAsia="SimSun" w:hAnsi="Times New Roman"/>
                <w:lang w:val="sk-SK"/>
              </w:rPr>
              <w:t>rôznych typov obvodov</w:t>
            </w:r>
          </w:p>
          <w:p w:rsidR="005E152F" w:rsidRPr="007038A1" w:rsidRDefault="005E152F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Opis </w:t>
            </w:r>
            <w:r w:rsidR="002735ED">
              <w:rPr>
                <w:rFonts w:ascii="Times New Roman" w:eastAsia="SimSun" w:hAnsi="Times New Roman"/>
                <w:lang w:val="sk-SK"/>
              </w:rPr>
              <w:t>vlastností prístroja/zariadenia</w:t>
            </w:r>
            <w:r w:rsidRPr="007038A1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5E152F" w:rsidRPr="007038A1" w:rsidRDefault="002735ED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Navrhnúť jednoduchú schému s použitím IKT</w:t>
            </w:r>
          </w:p>
          <w:p w:rsidR="005E152F" w:rsidRPr="007038A1" w:rsidRDefault="005E152F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Používanie správnej terminológie </w:t>
            </w:r>
          </w:p>
          <w:p w:rsidR="005E152F" w:rsidRPr="007038A1" w:rsidRDefault="005E152F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Zistenie vlastnej chyby, náprava </w:t>
            </w:r>
          </w:p>
          <w:p w:rsidR="005E152F" w:rsidRPr="007038A1" w:rsidRDefault="005E152F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>Efektívne rozvrhnutie času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písomný test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ústna – praktický príklad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 w:rsidRPr="008B5075">
              <w:rPr>
                <w:rFonts w:ascii="Times New Roman" w:eastAsia="SimSun" w:hAnsi="Times New Roman"/>
                <w:lang w:val="sk-SK"/>
              </w:rPr>
              <w:t>5</w:t>
            </w:r>
          </w:p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8B5075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152F" w:rsidRPr="008B5075" w:rsidRDefault="002735ED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52F" w:rsidRPr="008B5075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 w:rsidRPr="008B5075">
              <w:rPr>
                <w:rFonts w:ascii="Times New Roman" w:eastAsia="SimSun" w:hAnsi="Times New Roman"/>
                <w:lang w:val="sk-SK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52F" w:rsidRPr="008B5075" w:rsidRDefault="002735ED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10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5E152F" w:rsidRPr="008B5075" w:rsidRDefault="002735ED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40</w:t>
            </w:r>
          </w:p>
        </w:tc>
      </w:tr>
      <w:tr w:rsidR="005E152F" w:rsidRPr="00677EA9" w:rsidTr="002735ED">
        <w:trPr>
          <w:trHeight w:val="4249"/>
        </w:trPr>
        <w:tc>
          <w:tcPr>
            <w:tcW w:w="2767" w:type="dxa"/>
            <w:shd w:val="clear" w:color="auto" w:fill="auto"/>
            <w:vAlign w:val="center"/>
          </w:tcPr>
          <w:p w:rsidR="005E152F" w:rsidRPr="00677EA9" w:rsidRDefault="004C5D28" w:rsidP="004C5D28">
            <w:pPr>
              <w:contextualSpacing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lastRenderedPageBreak/>
              <w:t>Opísať a vykonať merania a diagnostiku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5E152F" w:rsidRPr="00677EA9" w:rsidRDefault="005E152F" w:rsidP="00AB0AA3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Výber nástrojov a pomôcok (prevodové tabuľky, pomôcky, medzinárodné/národné normy/štandardy)</w:t>
            </w:r>
          </w:p>
          <w:p w:rsidR="005E152F" w:rsidRPr="00677EA9" w:rsidRDefault="002735ED" w:rsidP="00AB0AA3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Vysvetlenie vybraných aspektov fyziky v elektrotechnike</w:t>
            </w:r>
          </w:p>
          <w:p w:rsidR="002735ED" w:rsidRPr="00677EA9" w:rsidRDefault="002735ED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Vysvetlenie vybraných aspektov matematiky v elektrotechnike</w:t>
            </w:r>
          </w:p>
          <w:p w:rsidR="005E152F" w:rsidRPr="00677EA9" w:rsidRDefault="002735ED" w:rsidP="00AB0AA3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Definovanie a opis bežne používaných meracích a diagnostických prístrojov/zariadení</w:t>
            </w:r>
          </w:p>
          <w:p w:rsidR="005E152F" w:rsidRPr="00677EA9" w:rsidRDefault="002735ED" w:rsidP="00AB0AA3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Charakterizovať princípy vyhodnocovania dát</w:t>
            </w:r>
          </w:p>
          <w:p w:rsidR="005E152F" w:rsidRDefault="002735ED" w:rsidP="00AB0AA3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Predviesť meranie</w:t>
            </w:r>
          </w:p>
          <w:p w:rsidR="002735ED" w:rsidRDefault="002735ED" w:rsidP="00AB0AA3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Predviesť diagnostiku</w:t>
            </w:r>
          </w:p>
          <w:p w:rsidR="005E152F" w:rsidRDefault="002735ED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Opísať bežné ochranné opatrenia, z</w:t>
            </w:r>
            <w:r w:rsidR="005E152F">
              <w:rPr>
                <w:rFonts w:ascii="Times New Roman" w:eastAsia="SimSun" w:hAnsi="Times New Roman"/>
                <w:lang w:val="sk-SK"/>
              </w:rPr>
              <w:t>ásady ochrany životného prostredia</w:t>
            </w:r>
          </w:p>
          <w:p w:rsidR="002735ED" w:rsidRDefault="002735ED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Výpočty</w:t>
            </w:r>
          </w:p>
          <w:p w:rsidR="002735ED" w:rsidRDefault="002735ED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Používanie správnej terminológie</w:t>
            </w:r>
          </w:p>
          <w:p w:rsidR="002735ED" w:rsidRPr="007038A1" w:rsidRDefault="002735ED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Zistenie vlastnej chyby, náprava </w:t>
            </w:r>
          </w:p>
          <w:p w:rsidR="002735ED" w:rsidRDefault="002735ED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>Efektívne rozvrhnutie času</w:t>
            </w:r>
          </w:p>
          <w:p w:rsidR="002735ED" w:rsidRDefault="002735ED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Nezávislé konanie</w:t>
            </w:r>
          </w:p>
          <w:p w:rsidR="002735ED" w:rsidRDefault="002735ED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Analytické myslenie</w:t>
            </w:r>
          </w:p>
          <w:p w:rsidR="002735ED" w:rsidRPr="00677EA9" w:rsidRDefault="002735ED" w:rsidP="002735ED">
            <w:pPr>
              <w:spacing w:before="120" w:after="120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E</w:t>
            </w:r>
            <w:r>
              <w:rPr>
                <w:rFonts w:ascii="Times New Roman" w:eastAsia="SimSun" w:hAnsi="Times New Roman"/>
                <w:lang w:val="sk-SK"/>
              </w:rPr>
              <w:t xml:space="preserve">fektívnosť riešenia problémov </w:t>
            </w:r>
            <w:r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písomný test</w:t>
            </w:r>
          </w:p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ústna – praktický príklad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152F" w:rsidRPr="00DD4072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DD4072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DD4072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 w:rsidRPr="00DD4072">
              <w:rPr>
                <w:rFonts w:ascii="Times New Roman" w:eastAsia="SimSun" w:hAnsi="Times New Roman"/>
                <w:lang w:val="sk-SK"/>
              </w:rPr>
              <w:t>5</w:t>
            </w:r>
          </w:p>
          <w:p w:rsidR="005E152F" w:rsidRPr="00DD4072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5E152F" w:rsidRPr="00DD4072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152F" w:rsidRPr="00DD4072" w:rsidRDefault="002735ED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52F" w:rsidRPr="00DD4072" w:rsidRDefault="002735ED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52F" w:rsidRPr="00DD4072" w:rsidRDefault="005E152F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 w:rsidRPr="00DD4072">
              <w:rPr>
                <w:rFonts w:ascii="Times New Roman" w:eastAsia="SimSun" w:hAnsi="Times New Roman"/>
                <w:lang w:val="sk-SK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5E152F" w:rsidRPr="00DD4072" w:rsidRDefault="002735ED" w:rsidP="00AB0AA3">
            <w:pPr>
              <w:jc w:val="center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40</w:t>
            </w:r>
          </w:p>
        </w:tc>
      </w:tr>
      <w:tr w:rsidR="005E152F" w:rsidRPr="00677EA9" w:rsidTr="002735ED">
        <w:tc>
          <w:tcPr>
            <w:tcW w:w="9067" w:type="dxa"/>
            <w:gridSpan w:val="3"/>
            <w:shd w:val="clear" w:color="auto" w:fill="auto"/>
            <w:vAlign w:val="center"/>
          </w:tcPr>
          <w:p w:rsidR="005E152F" w:rsidRPr="00677EA9" w:rsidRDefault="005E152F" w:rsidP="00AB0AA3">
            <w:pPr>
              <w:jc w:val="center"/>
              <w:rPr>
                <w:rFonts w:ascii="Times New Roman" w:eastAsia="SimSun" w:hAnsi="Times New Roman"/>
                <w:b/>
                <w:lang w:val="sk-SK"/>
              </w:rPr>
            </w:pPr>
            <w:r>
              <w:rPr>
                <w:rFonts w:ascii="Times New Roman" w:eastAsia="SimSun" w:hAnsi="Times New Roman"/>
                <w:b/>
                <w:lang w:val="sk-SK"/>
              </w:rPr>
              <w:t>Hodnotiace kritéria - body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20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100</w:t>
            </w:r>
          </w:p>
        </w:tc>
      </w:tr>
    </w:tbl>
    <w:p w:rsidR="005E152F" w:rsidRPr="00677EA9" w:rsidRDefault="005E152F" w:rsidP="005E152F">
      <w:pPr>
        <w:rPr>
          <w:rFonts w:ascii="Times New Roman" w:hAnsi="Times New Roman"/>
          <w:sz w:val="24"/>
          <w:szCs w:val="24"/>
          <w:lang w:val="sk-SK"/>
        </w:rPr>
      </w:pPr>
    </w:p>
    <w:p w:rsidR="005E152F" w:rsidRPr="00677EA9" w:rsidRDefault="005E152F" w:rsidP="005E152F">
      <w:pPr>
        <w:rPr>
          <w:rFonts w:ascii="Times New Roman" w:hAnsi="Times New Roman"/>
          <w:sz w:val="24"/>
          <w:szCs w:val="24"/>
          <w:lang w:val="sk-SK"/>
        </w:rPr>
      </w:pPr>
    </w:p>
    <w:p w:rsidR="005E152F" w:rsidRPr="00677EA9" w:rsidRDefault="005E152F" w:rsidP="005E152F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677EA9">
        <w:rPr>
          <w:rFonts w:ascii="Times New Roman" w:eastAsia="SimSun" w:hAnsi="Times New Roman"/>
          <w:b/>
          <w:u w:val="single"/>
          <w:lang w:val="sk-SK"/>
        </w:rPr>
        <w:t>P</w:t>
      </w:r>
      <w:r>
        <w:rPr>
          <w:rFonts w:ascii="Times New Roman" w:eastAsia="SimSun" w:hAnsi="Times New Roman"/>
          <w:b/>
          <w:u w:val="single"/>
          <w:lang w:val="sk-SK"/>
        </w:rPr>
        <w:t>ostupy</w:t>
      </w:r>
      <w:r w:rsidRPr="00677EA9">
        <w:rPr>
          <w:rFonts w:ascii="Times New Roman" w:eastAsia="SimSun" w:hAnsi="Times New Roman"/>
          <w:b/>
          <w:u w:val="single"/>
          <w:lang w:val="sk-SK"/>
        </w:rPr>
        <w:t>/</w:t>
      </w:r>
      <w:r>
        <w:rPr>
          <w:rFonts w:ascii="Times New Roman" w:eastAsia="SimSun" w:hAnsi="Times New Roman"/>
          <w:b/>
          <w:u w:val="single"/>
          <w:lang w:val="sk-SK"/>
        </w:rPr>
        <w:t>metódy realizácie</w:t>
      </w:r>
      <w:r w:rsidRPr="00677EA9">
        <w:rPr>
          <w:rFonts w:ascii="Times New Roman" w:eastAsia="SimSun" w:hAnsi="Times New Roman"/>
          <w:b/>
          <w:u w:val="single"/>
          <w:lang w:val="sk-SK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1"/>
        <w:gridCol w:w="11049"/>
      </w:tblGrid>
      <w:tr w:rsidR="005E152F" w:rsidRPr="00677EA9" w:rsidTr="00AB0AA3">
        <w:trPr>
          <w:trHeight w:val="660"/>
        </w:trPr>
        <w:tc>
          <w:tcPr>
            <w:tcW w:w="1115" w:type="pct"/>
            <w:shd w:val="clear" w:color="auto" w:fill="auto"/>
            <w:vAlign w:val="center"/>
          </w:tcPr>
          <w:p w:rsidR="005E152F" w:rsidRPr="00677EA9" w:rsidRDefault="005E152F" w:rsidP="00AB0AA3">
            <w:pPr>
              <w:pStyle w:val="ListParagraph1"/>
              <w:numPr>
                <w:ilvl w:val="0"/>
                <w:numId w:val="2"/>
              </w:numPr>
              <w:rPr>
                <w:rFonts w:ascii="Times New Roman" w:hAnsi="Times New Roman"/>
                <w:lang w:val="sk-SK"/>
              </w:rPr>
            </w:pPr>
            <w:r w:rsidRPr="00677EA9">
              <w:rPr>
                <w:rFonts w:ascii="Times New Roman" w:hAnsi="Times New Roman"/>
                <w:lang w:val="sk-SK"/>
              </w:rPr>
              <w:t>Info</w:t>
            </w:r>
            <w:r>
              <w:rPr>
                <w:rFonts w:ascii="Times New Roman" w:hAnsi="Times New Roman"/>
                <w:lang w:val="sk-SK"/>
              </w:rPr>
              <w:t>rmovanie a plánovanie</w:t>
            </w:r>
          </w:p>
        </w:tc>
        <w:tc>
          <w:tcPr>
            <w:tcW w:w="3885" w:type="pct"/>
            <w:shd w:val="clear" w:color="auto" w:fill="auto"/>
          </w:tcPr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Jednotlivec chápe úlohu v kontexte pracovného procesu. Vyberá správne nástroje a pomôcky a pripravuje si pracovné prostredie na základe analýzy predloženej dokumentácie a súvisiacej stanovenej úlohe.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</w:t>
            </w:r>
          </w:p>
        </w:tc>
      </w:tr>
      <w:tr w:rsidR="005E152F" w:rsidRPr="00677EA9" w:rsidTr="00AB0AA3">
        <w:tc>
          <w:tcPr>
            <w:tcW w:w="1115" w:type="pct"/>
            <w:shd w:val="clear" w:color="auto" w:fill="auto"/>
            <w:vAlign w:val="center"/>
          </w:tcPr>
          <w:p w:rsidR="005E152F" w:rsidRPr="00677EA9" w:rsidRDefault="005E152F" w:rsidP="00AB0AA3">
            <w:pPr>
              <w:pStyle w:val="ListParagraph1"/>
              <w:numPr>
                <w:ilvl w:val="0"/>
                <w:numId w:val="2"/>
              </w:numPr>
              <w:ind w:left="317" w:hanging="28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lastRenderedPageBreak/>
              <w:t>Výkon úlohy</w:t>
            </w:r>
          </w:p>
        </w:tc>
        <w:tc>
          <w:tcPr>
            <w:tcW w:w="3885" w:type="pct"/>
            <w:shd w:val="clear" w:color="auto" w:fill="auto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Jednotlivec vykoná úlohu nezávisle; identifikuje typ predloženej dokumentácie a efektívne vyrieši príslušnú úlohu. </w:t>
            </w:r>
          </w:p>
        </w:tc>
      </w:tr>
      <w:tr w:rsidR="005E152F" w:rsidRPr="00677EA9" w:rsidTr="00AB0AA3">
        <w:tc>
          <w:tcPr>
            <w:tcW w:w="1115" w:type="pct"/>
            <w:shd w:val="clear" w:color="auto" w:fill="auto"/>
            <w:vAlign w:val="center"/>
          </w:tcPr>
          <w:p w:rsidR="005E152F" w:rsidRPr="00677EA9" w:rsidRDefault="005E152F" w:rsidP="00AB0AA3">
            <w:pPr>
              <w:pStyle w:val="ListParagraph1"/>
              <w:numPr>
                <w:ilvl w:val="0"/>
                <w:numId w:val="2"/>
              </w:numPr>
              <w:ind w:left="317" w:hanging="28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Kontrola a vyhodnotenie</w:t>
            </w:r>
          </w:p>
        </w:tc>
        <w:tc>
          <w:tcPr>
            <w:tcW w:w="3885" w:type="pct"/>
            <w:shd w:val="clear" w:color="auto" w:fill="auto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>Jednotlivec vykonáva priebežne, počas výkonu pridelenej úlohy, sebahodnotenie. Tam, kde je to potrebné, vykoná nápravné opatrenia. Je schopný požiadať o pomoc v prípade nutnosti.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 </w:t>
            </w:r>
          </w:p>
        </w:tc>
      </w:tr>
      <w:tr w:rsidR="005E152F" w:rsidRPr="00677EA9" w:rsidTr="00AB0AA3">
        <w:tc>
          <w:tcPr>
            <w:tcW w:w="1115" w:type="pct"/>
            <w:shd w:val="clear" w:color="auto" w:fill="auto"/>
            <w:vAlign w:val="center"/>
          </w:tcPr>
          <w:p w:rsidR="005E152F" w:rsidRPr="00677EA9" w:rsidRDefault="005E152F" w:rsidP="00AB0AA3">
            <w:pPr>
              <w:pStyle w:val="ListParagraph1"/>
              <w:numPr>
                <w:ilvl w:val="0"/>
                <w:numId w:val="2"/>
              </w:numPr>
              <w:ind w:left="317" w:hanging="28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Čistenie a likvidácia odpadu</w:t>
            </w:r>
          </w:p>
        </w:tc>
        <w:tc>
          <w:tcPr>
            <w:tcW w:w="3885" w:type="pct"/>
            <w:shd w:val="clear" w:color="auto" w:fill="auto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Jednotlivec priebežne udržiava svoje pracovisko a pracovné pomôcky a prostriedky nepoškodené a čisté. Priebežne aplikuje opatrenia na ochranu životného prostredia. </w:t>
            </w:r>
          </w:p>
        </w:tc>
      </w:tr>
      <w:tr w:rsidR="005E152F" w:rsidRPr="00677EA9" w:rsidTr="00AB0AA3">
        <w:tc>
          <w:tcPr>
            <w:tcW w:w="1115" w:type="pct"/>
            <w:shd w:val="clear" w:color="auto" w:fill="auto"/>
            <w:vAlign w:val="center"/>
          </w:tcPr>
          <w:p w:rsidR="005E152F" w:rsidRPr="00677EA9" w:rsidRDefault="005E152F" w:rsidP="00AB0AA3">
            <w:pPr>
              <w:pStyle w:val="ListParagraph1"/>
              <w:numPr>
                <w:ilvl w:val="0"/>
                <w:numId w:val="2"/>
              </w:numPr>
              <w:ind w:left="317" w:hanging="28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Bezpečnosť a ochrana zdravia pri práci</w:t>
            </w:r>
          </w:p>
        </w:tc>
        <w:tc>
          <w:tcPr>
            <w:tcW w:w="3885" w:type="pct"/>
            <w:shd w:val="clear" w:color="auto" w:fill="auto"/>
          </w:tcPr>
          <w:p w:rsidR="005E152F" w:rsidRPr="00677EA9" w:rsidRDefault="005E152F" w:rsidP="00AB0AA3">
            <w:pPr>
              <w:rPr>
                <w:rFonts w:ascii="Times New Roman" w:eastAsia="Times New Roman" w:hAnsi="Times New Roman"/>
                <w:sz w:val="16"/>
                <w:szCs w:val="16"/>
                <w:lang w:val="sk-SK"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Jednotlivec samostatne dodržiava pravidlá bezpečnosti a ochrany zdravia pri práci. Je zodpovedný za svoju vlastnú bezpečnosť a bezpečnosť malého tímu. 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 </w:t>
            </w:r>
          </w:p>
        </w:tc>
      </w:tr>
      <w:tr w:rsidR="005E152F" w:rsidRPr="00677EA9" w:rsidTr="00AB0AA3">
        <w:trPr>
          <w:trHeight w:val="333"/>
        </w:trPr>
        <w:tc>
          <w:tcPr>
            <w:tcW w:w="1115" w:type="pct"/>
            <w:shd w:val="clear" w:color="auto" w:fill="auto"/>
            <w:vAlign w:val="center"/>
          </w:tcPr>
          <w:p w:rsidR="005E152F" w:rsidRPr="00677EA9" w:rsidRDefault="005E152F" w:rsidP="00AB0AA3">
            <w:pPr>
              <w:pStyle w:val="ListParagraph1"/>
              <w:numPr>
                <w:ilvl w:val="0"/>
                <w:numId w:val="2"/>
              </w:numPr>
              <w:ind w:left="317" w:hanging="28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Postoj k práci</w:t>
            </w:r>
          </w:p>
        </w:tc>
        <w:tc>
          <w:tcPr>
            <w:tcW w:w="3885" w:type="pct"/>
            <w:shd w:val="clear" w:color="auto" w:fill="auto"/>
          </w:tcPr>
          <w:p w:rsidR="005E152F" w:rsidRPr="00677EA9" w:rsidRDefault="005E152F" w:rsidP="00AB0AA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Jednotlivec pracuje nezávisle, efektívne a hospodárne. Preberá zodpovednosť za svoju vlastnú prácu a prácu malého tímu. 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 </w:t>
            </w:r>
          </w:p>
        </w:tc>
      </w:tr>
    </w:tbl>
    <w:p w:rsidR="005E152F" w:rsidRPr="00677EA9" w:rsidRDefault="005E152F" w:rsidP="005E152F">
      <w:pPr>
        <w:rPr>
          <w:rFonts w:ascii="Times New Roman" w:hAnsi="Times New Roman"/>
          <w:lang w:val="sk-SK"/>
        </w:rPr>
      </w:pPr>
    </w:p>
    <w:p w:rsidR="005E152F" w:rsidRPr="00677EA9" w:rsidRDefault="005E152F" w:rsidP="005E152F">
      <w:pPr>
        <w:rPr>
          <w:lang w:val="sk-SK"/>
        </w:rPr>
      </w:pPr>
    </w:p>
    <w:p w:rsidR="00B45B7A" w:rsidRPr="005E152F" w:rsidRDefault="00CC689E" w:rsidP="005E152F"/>
    <w:sectPr w:rsidR="00B45B7A" w:rsidRPr="005E152F" w:rsidSect="00730A6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89E" w:rsidRDefault="00CC689E">
      <w:r>
        <w:separator/>
      </w:r>
    </w:p>
  </w:endnote>
  <w:endnote w:type="continuationSeparator" w:id="0">
    <w:p w:rsidR="00CC689E" w:rsidRDefault="00CC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89E" w:rsidRDefault="00CC689E">
      <w:r>
        <w:separator/>
      </w:r>
    </w:p>
  </w:footnote>
  <w:footnote w:type="continuationSeparator" w:id="0">
    <w:p w:rsidR="00CC689E" w:rsidRDefault="00CC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0B" w:rsidRDefault="0064553C">
    <w:pPr>
      <w:pStyle w:val="Glava"/>
    </w:pPr>
    <w:r>
      <w:rPr>
        <w:noProof/>
        <w:lang w:val="sl-SI" w:eastAsia="sl-SI"/>
      </w:rPr>
      <w:pict>
        <v:rect id="Obdĺžnik 3" o:spid="_x0000_s6145" style="position:absolute;margin-left:785.2pt;margin-top:284.5pt;width:56.35pt;height:25.95pt;z-index:251661312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" o:allowincell="f" stroked="f">
          <v:textbox>
            <w:txbxContent>
              <w:p w:rsidR="00360551" w:rsidRPr="00720BDD" w:rsidRDefault="0064553C">
                <w:pPr>
                  <w:pBdr>
                    <w:bottom w:val="single" w:sz="4" w:space="1" w:color="auto"/>
                  </w:pBdr>
                </w:pPr>
                <w:r w:rsidRPr="00720BDD">
                  <w:fldChar w:fldCharType="begin"/>
                </w:r>
                <w:r w:rsidR="00DC331F" w:rsidRPr="00720BDD">
                  <w:instrText>PAGE   \* MERGEFORMAT</w:instrText>
                </w:r>
                <w:r w:rsidRPr="00720BDD">
                  <w:fldChar w:fldCharType="separate"/>
                </w:r>
                <w:r w:rsidR="00720BDD" w:rsidRPr="00720BDD">
                  <w:rPr>
                    <w:noProof/>
                    <w:lang w:val="sl-SI"/>
                  </w:rPr>
                  <w:t>9</w:t>
                </w:r>
                <w:r w:rsidRPr="00720BDD">
                  <w:fldChar w:fldCharType="end"/>
                </w:r>
              </w:p>
            </w:txbxContent>
          </v:textbox>
          <w10:wrap anchorx="page" anchory="page"/>
        </v:rect>
      </w:pict>
    </w:r>
    <w:r w:rsidR="00F05BA9">
      <w:rPr>
        <w:rFonts w:ascii="Arial" w:hAnsi="Arial"/>
        <w:b/>
        <w:noProof/>
        <w:color w:val="808080"/>
        <w:sz w:val="18"/>
        <w:szCs w:val="18"/>
        <w:lang w:val="sl-SI"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5843905</wp:posOffset>
          </wp:positionH>
          <wp:positionV relativeFrom="paragraph">
            <wp:posOffset>52070</wp:posOffset>
          </wp:positionV>
          <wp:extent cx="2502535" cy="409575"/>
          <wp:effectExtent l="0" t="0" r="0" b="9525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53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5BA9">
      <w:rPr>
        <w:rFonts w:ascii="Arial" w:hAnsi="Arial"/>
        <w:b/>
        <w:noProof/>
        <w:color w:val="808080"/>
        <w:sz w:val="18"/>
        <w:szCs w:val="18"/>
        <w:lang w:val="sl-SI" w:eastAsia="zh-T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-62865</wp:posOffset>
          </wp:positionV>
          <wp:extent cx="1832610" cy="524510"/>
          <wp:effectExtent l="0" t="0" r="0" b="889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6CF"/>
    <w:multiLevelType w:val="hybridMultilevel"/>
    <w:tmpl w:val="460A3FE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F6B20"/>
    <w:multiLevelType w:val="hybridMultilevel"/>
    <w:tmpl w:val="DA8E0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D72FA"/>
    <w:multiLevelType w:val="hybridMultilevel"/>
    <w:tmpl w:val="4558C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F0AEB"/>
    <w:multiLevelType w:val="hybridMultilevel"/>
    <w:tmpl w:val="E250A986"/>
    <w:lvl w:ilvl="0" w:tplc="AC0850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74E21"/>
    <w:multiLevelType w:val="hybridMultilevel"/>
    <w:tmpl w:val="182CC4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620D4"/>
    <w:multiLevelType w:val="hybridMultilevel"/>
    <w:tmpl w:val="58681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4352F"/>
    <w:multiLevelType w:val="hybridMultilevel"/>
    <w:tmpl w:val="1F1A8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E7398"/>
    <w:multiLevelType w:val="hybridMultilevel"/>
    <w:tmpl w:val="B45E0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0608F"/>
    <w:multiLevelType w:val="hybridMultilevel"/>
    <w:tmpl w:val="5106D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43D63"/>
    <w:multiLevelType w:val="hybridMultilevel"/>
    <w:tmpl w:val="5336B2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F05BA9"/>
    <w:rsid w:val="00023E45"/>
    <w:rsid w:val="0003029F"/>
    <w:rsid w:val="00052712"/>
    <w:rsid w:val="000D0B44"/>
    <w:rsid w:val="000D248A"/>
    <w:rsid w:val="000D2C24"/>
    <w:rsid w:val="00252784"/>
    <w:rsid w:val="002735ED"/>
    <w:rsid w:val="002B61A5"/>
    <w:rsid w:val="002C20ED"/>
    <w:rsid w:val="003053A1"/>
    <w:rsid w:val="00394CD5"/>
    <w:rsid w:val="003F0203"/>
    <w:rsid w:val="00492625"/>
    <w:rsid w:val="004C5D28"/>
    <w:rsid w:val="005309C1"/>
    <w:rsid w:val="00543D6D"/>
    <w:rsid w:val="005E152F"/>
    <w:rsid w:val="0064553C"/>
    <w:rsid w:val="0065168F"/>
    <w:rsid w:val="00660F4B"/>
    <w:rsid w:val="00661597"/>
    <w:rsid w:val="00685E7E"/>
    <w:rsid w:val="00696A38"/>
    <w:rsid w:val="006B0C47"/>
    <w:rsid w:val="006F4F5D"/>
    <w:rsid w:val="00720BDD"/>
    <w:rsid w:val="00725F31"/>
    <w:rsid w:val="007D21DB"/>
    <w:rsid w:val="007F1027"/>
    <w:rsid w:val="008C04A1"/>
    <w:rsid w:val="008C6CCE"/>
    <w:rsid w:val="008D6F9E"/>
    <w:rsid w:val="0093524A"/>
    <w:rsid w:val="0097237B"/>
    <w:rsid w:val="009B4391"/>
    <w:rsid w:val="00A41781"/>
    <w:rsid w:val="00A60D45"/>
    <w:rsid w:val="00A66449"/>
    <w:rsid w:val="00B32825"/>
    <w:rsid w:val="00BA5E6B"/>
    <w:rsid w:val="00C31AB7"/>
    <w:rsid w:val="00C44ADF"/>
    <w:rsid w:val="00C6651E"/>
    <w:rsid w:val="00C746DA"/>
    <w:rsid w:val="00CB0794"/>
    <w:rsid w:val="00CB1A60"/>
    <w:rsid w:val="00CC689E"/>
    <w:rsid w:val="00CE7B13"/>
    <w:rsid w:val="00D4798C"/>
    <w:rsid w:val="00D77542"/>
    <w:rsid w:val="00D83489"/>
    <w:rsid w:val="00DB6207"/>
    <w:rsid w:val="00DB7C93"/>
    <w:rsid w:val="00DC331F"/>
    <w:rsid w:val="00DC7644"/>
    <w:rsid w:val="00E23763"/>
    <w:rsid w:val="00E2740A"/>
    <w:rsid w:val="00E459D9"/>
    <w:rsid w:val="00F05BA9"/>
    <w:rsid w:val="00F1626D"/>
    <w:rsid w:val="00F9205E"/>
    <w:rsid w:val="00FD22D8"/>
    <w:rsid w:val="00FD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5BA9"/>
    <w:rPr>
      <w:rFonts w:ascii="Calibri" w:eastAsia="Calibri" w:hAnsi="Calibri" w:cs="Times New Roman"/>
      <w:lang w:val="lv-LV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5BA9"/>
    <w:pPr>
      <w:tabs>
        <w:tab w:val="center" w:pos="4153"/>
        <w:tab w:val="right" w:pos="8306"/>
      </w:tabs>
    </w:pPr>
    <w:rPr>
      <w:lang/>
    </w:rPr>
  </w:style>
  <w:style w:type="character" w:customStyle="1" w:styleId="GlavaZnak">
    <w:name w:val="Glava Znak"/>
    <w:basedOn w:val="Privzetapisavaodstavka"/>
    <w:link w:val="Glava"/>
    <w:uiPriority w:val="99"/>
    <w:rsid w:val="00F05BA9"/>
    <w:rPr>
      <w:rFonts w:ascii="Calibri" w:eastAsia="Calibri" w:hAnsi="Calibri" w:cs="Times New Roman"/>
      <w:lang/>
    </w:rPr>
  </w:style>
  <w:style w:type="paragraph" w:styleId="Noga">
    <w:name w:val="footer"/>
    <w:basedOn w:val="Navaden"/>
    <w:link w:val="NogaZnak"/>
    <w:uiPriority w:val="99"/>
    <w:unhideWhenUsed/>
    <w:rsid w:val="00F05BA9"/>
    <w:pPr>
      <w:tabs>
        <w:tab w:val="center" w:pos="4153"/>
        <w:tab w:val="right" w:pos="8306"/>
      </w:tabs>
    </w:pPr>
    <w:rPr>
      <w:lang/>
    </w:rPr>
  </w:style>
  <w:style w:type="character" w:customStyle="1" w:styleId="NogaZnak">
    <w:name w:val="Noga Znak"/>
    <w:basedOn w:val="Privzetapisavaodstavka"/>
    <w:link w:val="Noga"/>
    <w:uiPriority w:val="99"/>
    <w:rsid w:val="00F05BA9"/>
    <w:rPr>
      <w:rFonts w:ascii="Calibri" w:eastAsia="Calibri" w:hAnsi="Calibri" w:cs="Times New Roman"/>
      <w:lang/>
    </w:rPr>
  </w:style>
  <w:style w:type="paragraph" w:customStyle="1" w:styleId="ListParagraph1">
    <w:name w:val="List Paragraph1"/>
    <w:basedOn w:val="Navaden"/>
    <w:uiPriority w:val="34"/>
    <w:qFormat/>
    <w:rsid w:val="00F05BA9"/>
    <w:pPr>
      <w:ind w:left="720"/>
      <w:contextualSpacing/>
    </w:pPr>
    <w:rPr>
      <w:rFonts w:eastAsia="SimSun"/>
      <w:lang w:val="sl-SI" w:eastAsia="sl-SI"/>
    </w:rPr>
  </w:style>
  <w:style w:type="character" w:customStyle="1" w:styleId="apple-converted-space">
    <w:name w:val="apple-converted-space"/>
    <w:rsid w:val="00F05B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6A3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6A38"/>
    <w:rPr>
      <w:rFonts w:ascii="Segoe UI" w:eastAsia="Calibri" w:hAnsi="Segoe UI" w:cs="Segoe UI"/>
      <w:sz w:val="18"/>
      <w:szCs w:val="18"/>
      <w:lang w:val="lv-LV"/>
    </w:rPr>
  </w:style>
  <w:style w:type="paragraph" w:styleId="Odstavekseznama">
    <w:name w:val="List Paragraph"/>
    <w:basedOn w:val="Navaden"/>
    <w:uiPriority w:val="34"/>
    <w:qFormat/>
    <w:rsid w:val="00E23763"/>
    <w:pPr>
      <w:ind w:left="720"/>
      <w:contextualSpacing/>
    </w:pPr>
    <w:rPr>
      <w:rFonts w:asciiTheme="minorHAnsi" w:eastAsiaTheme="minorEastAsia" w:hAnsiTheme="minorHAnsi" w:cstheme="minorBidi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1218</Words>
  <Characters>6944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Flerin</cp:lastModifiedBy>
  <cp:revision>4</cp:revision>
  <cp:lastPrinted>2016-05-30T11:36:00Z</cp:lastPrinted>
  <dcterms:created xsi:type="dcterms:W3CDTF">2016-07-25T09:52:00Z</dcterms:created>
  <dcterms:modified xsi:type="dcterms:W3CDTF">2017-10-02T20:36:00Z</dcterms:modified>
</cp:coreProperties>
</file>