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C3" w:rsidRPr="00781ED3" w:rsidRDefault="003373C3" w:rsidP="003373C3">
      <w:pPr>
        <w:rPr>
          <w:rFonts w:ascii="Tahoma" w:hAnsi="Tahoma" w:cs="Tahoma"/>
          <w:sz w:val="22"/>
          <w:szCs w:val="22"/>
          <w:lang w:val="sl-SI"/>
        </w:rPr>
      </w:pPr>
      <w:r w:rsidRPr="00781ED3">
        <w:rPr>
          <w:rFonts w:ascii="Tahoma" w:hAnsi="Tahoma" w:cs="Tahoma"/>
          <w:sz w:val="22"/>
          <w:szCs w:val="22"/>
          <w:lang w:val="sl-SI"/>
        </w:rPr>
        <w:t>IZJAVA ZA MEDIJE</w:t>
      </w:r>
    </w:p>
    <w:p w:rsidR="003373C3" w:rsidRPr="00781ED3" w:rsidRDefault="003373C3" w:rsidP="003373C3">
      <w:pPr>
        <w:rPr>
          <w:rFonts w:ascii="Tahoma" w:hAnsi="Tahoma" w:cs="Tahoma"/>
          <w:b/>
          <w:sz w:val="22"/>
          <w:szCs w:val="22"/>
          <w:lang w:val="sl-SI"/>
        </w:rPr>
      </w:pPr>
    </w:p>
    <w:p w:rsidR="003373C3" w:rsidRPr="00781ED3" w:rsidRDefault="003373C3" w:rsidP="003373C3">
      <w:pPr>
        <w:jc w:val="right"/>
        <w:rPr>
          <w:rFonts w:ascii="Tahoma" w:hAnsi="Tahoma" w:cs="Tahoma"/>
          <w:sz w:val="22"/>
          <w:szCs w:val="22"/>
          <w:lang w:val="sl-SI"/>
        </w:rPr>
      </w:pPr>
      <w:r w:rsidRPr="00781ED3">
        <w:rPr>
          <w:rFonts w:ascii="Tahoma" w:hAnsi="Tahoma" w:cs="Tahoma"/>
          <w:sz w:val="22"/>
          <w:szCs w:val="22"/>
          <w:lang w:val="sl-SI"/>
        </w:rPr>
        <w:t>Ljubljana,</w:t>
      </w:r>
      <w:r w:rsidRPr="00781ED3">
        <w:rPr>
          <w:rFonts w:ascii="Tahoma" w:hAnsi="Tahoma" w:cs="Tahoma"/>
          <w:sz w:val="22"/>
          <w:szCs w:val="22"/>
          <w:lang w:val="sl-SI"/>
        </w:rPr>
        <w:t xml:space="preserve"> 9. 4. 2015</w:t>
      </w:r>
    </w:p>
    <w:p w:rsidR="003373C3" w:rsidRPr="00781ED3" w:rsidRDefault="003373C3" w:rsidP="003373C3">
      <w:pPr>
        <w:rPr>
          <w:rFonts w:ascii="Tahoma" w:hAnsi="Tahoma" w:cs="Tahoma"/>
          <w:b/>
          <w:sz w:val="22"/>
          <w:szCs w:val="22"/>
          <w:lang w:val="sl-SI"/>
        </w:rPr>
      </w:pPr>
    </w:p>
    <w:p w:rsidR="003373C3" w:rsidRPr="00781ED3" w:rsidRDefault="003373C3" w:rsidP="003373C3">
      <w:pPr>
        <w:rPr>
          <w:rFonts w:ascii="Tahoma" w:hAnsi="Tahoma" w:cs="Tahoma"/>
          <w:b/>
          <w:sz w:val="22"/>
          <w:szCs w:val="22"/>
          <w:lang w:val="sl-SI"/>
        </w:rPr>
      </w:pPr>
    </w:p>
    <w:p w:rsidR="003373C3" w:rsidRPr="00781ED3" w:rsidRDefault="003373C3" w:rsidP="003373C3">
      <w:pPr>
        <w:jc w:val="center"/>
        <w:rPr>
          <w:rFonts w:ascii="Tahoma" w:hAnsi="Tahoma" w:cs="Tahoma"/>
          <w:sz w:val="22"/>
          <w:szCs w:val="22"/>
          <w:lang w:val="sl-SI"/>
        </w:rPr>
      </w:pPr>
      <w:r w:rsidRPr="00781ED3">
        <w:rPr>
          <w:rFonts w:ascii="Tahoma" w:hAnsi="Tahoma" w:cs="Tahoma"/>
          <w:b/>
          <w:sz w:val="22"/>
          <w:szCs w:val="22"/>
          <w:lang w:val="sl-SI"/>
        </w:rPr>
        <w:t xml:space="preserve">Operaterji elektronskih komunikacij: nova večfrekvenčna dražba šele po pripravi strategije </w:t>
      </w:r>
      <w:r w:rsidRPr="00781ED3">
        <w:rPr>
          <w:rFonts w:ascii="Tahoma" w:hAnsi="Tahoma" w:cs="Tahoma"/>
          <w:b/>
          <w:sz w:val="22"/>
          <w:szCs w:val="22"/>
          <w:lang w:val="sl-SI"/>
        </w:rPr>
        <w:t>razvoja širokopasovnih omrežij</w:t>
      </w:r>
      <w:r w:rsidRPr="00781ED3">
        <w:rPr>
          <w:rFonts w:ascii="Tahoma" w:hAnsi="Tahoma" w:cs="Tahoma"/>
          <w:b/>
          <w:sz w:val="22"/>
          <w:szCs w:val="22"/>
          <w:lang w:val="sl-SI"/>
        </w:rPr>
        <w:t xml:space="preserve"> ob upoštevanju potreb operaterjev</w:t>
      </w:r>
    </w:p>
    <w:p w:rsidR="003373C3" w:rsidRPr="00781ED3" w:rsidRDefault="003373C3" w:rsidP="003373C3">
      <w:pPr>
        <w:jc w:val="center"/>
        <w:rPr>
          <w:rFonts w:ascii="Tahoma" w:hAnsi="Tahoma" w:cs="Tahoma"/>
          <w:b/>
          <w:sz w:val="22"/>
          <w:szCs w:val="22"/>
          <w:lang w:val="sl-SI"/>
        </w:rPr>
      </w:pPr>
    </w:p>
    <w:p w:rsidR="00CD68AC" w:rsidRPr="00781ED3" w:rsidRDefault="00CD68AC" w:rsidP="00CD68AC">
      <w:pPr>
        <w:jc w:val="both"/>
        <w:rPr>
          <w:rFonts w:ascii="Tahoma" w:hAnsi="Tahoma" w:cs="Tahoma"/>
          <w:b/>
          <w:sz w:val="22"/>
          <w:szCs w:val="22"/>
          <w:lang w:val="sl-SI"/>
        </w:rPr>
      </w:pPr>
      <w:r w:rsidRPr="00781ED3">
        <w:rPr>
          <w:rFonts w:ascii="Tahoma" w:hAnsi="Tahoma" w:cs="Tahoma"/>
          <w:b/>
          <w:sz w:val="22"/>
          <w:szCs w:val="22"/>
          <w:lang w:val="sl-SI"/>
        </w:rPr>
        <w:t xml:space="preserve">Člani </w:t>
      </w:r>
      <w:r w:rsidRPr="00781ED3">
        <w:rPr>
          <w:rFonts w:ascii="Tahoma" w:hAnsi="Tahoma" w:cs="Tahoma"/>
          <w:b/>
          <w:sz w:val="22"/>
          <w:szCs w:val="22"/>
          <w:lang w:val="sl-SI"/>
        </w:rPr>
        <w:t>Sekcij</w:t>
      </w:r>
      <w:r w:rsidRPr="00781ED3">
        <w:rPr>
          <w:rFonts w:ascii="Tahoma" w:hAnsi="Tahoma" w:cs="Tahoma"/>
          <w:b/>
          <w:sz w:val="22"/>
          <w:szCs w:val="22"/>
          <w:lang w:val="sl-SI"/>
        </w:rPr>
        <w:t>e</w:t>
      </w:r>
      <w:r w:rsidRPr="00781ED3">
        <w:rPr>
          <w:rFonts w:ascii="Tahoma" w:hAnsi="Tahoma" w:cs="Tahoma"/>
          <w:b/>
          <w:sz w:val="22"/>
          <w:szCs w:val="22"/>
          <w:lang w:val="sl-SI"/>
        </w:rPr>
        <w:t xml:space="preserve"> operaterjev elektronskih komunikacij pri Gospodarski zbornici</w:t>
      </w:r>
      <w:r w:rsidRPr="00781ED3">
        <w:rPr>
          <w:rFonts w:ascii="Tahoma" w:hAnsi="Tahoma" w:cs="Tahoma"/>
          <w:b/>
          <w:sz w:val="22"/>
          <w:szCs w:val="22"/>
          <w:lang w:val="sl-SI"/>
        </w:rPr>
        <w:t xml:space="preserve"> Slovenije (SOEK) so</w:t>
      </w:r>
      <w:r w:rsidRPr="00781ED3">
        <w:rPr>
          <w:rFonts w:ascii="Tahoma" w:hAnsi="Tahoma" w:cs="Tahoma"/>
          <w:b/>
          <w:sz w:val="22"/>
          <w:szCs w:val="22"/>
          <w:lang w:val="sl-SI"/>
        </w:rPr>
        <w:t xml:space="preserve"> na posvetu o uporabi radijskih frekvenc za mobilne komunikacije izpostavil</w:t>
      </w:r>
      <w:r w:rsidRPr="00781ED3">
        <w:rPr>
          <w:rFonts w:ascii="Tahoma" w:hAnsi="Tahoma" w:cs="Tahoma"/>
          <w:b/>
          <w:sz w:val="22"/>
          <w:szCs w:val="22"/>
          <w:lang w:val="sl-SI"/>
        </w:rPr>
        <w:t>i</w:t>
      </w:r>
      <w:r w:rsidRPr="00781ED3">
        <w:rPr>
          <w:rFonts w:ascii="Tahoma" w:hAnsi="Tahoma" w:cs="Tahoma"/>
          <w:b/>
          <w:sz w:val="22"/>
          <w:szCs w:val="22"/>
          <w:lang w:val="sl-SI"/>
        </w:rPr>
        <w:t>, da</w:t>
      </w:r>
      <w:r w:rsidRPr="00781ED3">
        <w:rPr>
          <w:rFonts w:ascii="Tahoma" w:hAnsi="Tahoma" w:cs="Tahoma"/>
          <w:b/>
          <w:sz w:val="22"/>
          <w:szCs w:val="22"/>
          <w:lang w:val="sl-SI"/>
        </w:rPr>
        <w:t xml:space="preserve"> </w:t>
      </w:r>
      <w:r w:rsidRPr="00781ED3">
        <w:rPr>
          <w:rFonts w:ascii="Tahoma" w:hAnsi="Tahoma" w:cs="Tahoma"/>
          <w:b/>
          <w:sz w:val="22"/>
          <w:szCs w:val="22"/>
          <w:lang w:val="sl-SI"/>
        </w:rPr>
        <w:t>morajo biti strateške usmeritve glede prihodnjega dodeljevanja frekvenc v Sloveniji ses</w:t>
      </w:r>
      <w:r w:rsidRPr="00781ED3">
        <w:rPr>
          <w:rFonts w:ascii="Tahoma" w:hAnsi="Tahoma" w:cs="Tahoma"/>
          <w:b/>
          <w:sz w:val="22"/>
          <w:szCs w:val="22"/>
          <w:lang w:val="sl-SI"/>
        </w:rPr>
        <w:t xml:space="preserve">tavni del nacionalne strategije in </w:t>
      </w:r>
      <w:r w:rsidRPr="00781ED3">
        <w:rPr>
          <w:rFonts w:ascii="Tahoma" w:hAnsi="Tahoma" w:cs="Tahoma"/>
          <w:b/>
          <w:sz w:val="22"/>
          <w:szCs w:val="22"/>
          <w:lang w:val="sl-SI"/>
        </w:rPr>
        <w:t>morajo p</w:t>
      </w:r>
      <w:r w:rsidR="006108D0" w:rsidRPr="00781ED3">
        <w:rPr>
          <w:rFonts w:ascii="Tahoma" w:hAnsi="Tahoma" w:cs="Tahoma"/>
          <w:b/>
          <w:sz w:val="22"/>
          <w:szCs w:val="22"/>
          <w:lang w:val="sl-SI"/>
        </w:rPr>
        <w:t>ripravljav</w:t>
      </w:r>
      <w:r w:rsidRPr="00781ED3">
        <w:rPr>
          <w:rFonts w:ascii="Tahoma" w:hAnsi="Tahoma" w:cs="Tahoma"/>
          <w:b/>
          <w:sz w:val="22"/>
          <w:szCs w:val="22"/>
          <w:lang w:val="sl-SI"/>
        </w:rPr>
        <w:t>ci frekvenčne strategije od operaterjev predhodno pridobiti načrt njihovih pri</w:t>
      </w:r>
      <w:r w:rsidRPr="00781ED3">
        <w:rPr>
          <w:rFonts w:ascii="Tahoma" w:hAnsi="Tahoma" w:cs="Tahoma"/>
          <w:b/>
          <w:sz w:val="22"/>
          <w:szCs w:val="22"/>
          <w:lang w:val="sl-SI"/>
        </w:rPr>
        <w:t>čakovanih potreb glede frekvenc.</w:t>
      </w:r>
    </w:p>
    <w:p w:rsidR="00CD68AC" w:rsidRPr="00781ED3" w:rsidRDefault="00CD68AC" w:rsidP="00CD68AC">
      <w:pPr>
        <w:jc w:val="both"/>
        <w:rPr>
          <w:rFonts w:ascii="Tahoma" w:hAnsi="Tahoma" w:cs="Tahoma"/>
          <w:sz w:val="22"/>
          <w:szCs w:val="22"/>
          <w:lang w:val="sl-SI"/>
        </w:rPr>
      </w:pPr>
    </w:p>
    <w:p w:rsidR="00CD68AC" w:rsidRPr="00781ED3" w:rsidRDefault="00CD68AC" w:rsidP="00CD68AC">
      <w:pPr>
        <w:jc w:val="both"/>
        <w:rPr>
          <w:rFonts w:ascii="Tahoma" w:hAnsi="Tahoma" w:cs="Tahoma"/>
          <w:sz w:val="22"/>
          <w:szCs w:val="22"/>
          <w:lang w:val="sl-SI"/>
        </w:rPr>
      </w:pPr>
      <w:r w:rsidRPr="00781ED3">
        <w:rPr>
          <w:rFonts w:ascii="Tahoma" w:hAnsi="Tahoma" w:cs="Tahoma"/>
          <w:sz w:val="22"/>
          <w:szCs w:val="22"/>
          <w:lang w:val="sl-SI"/>
        </w:rPr>
        <w:t>Poleg tega so poudarili, da morajo deležniki:</w:t>
      </w:r>
    </w:p>
    <w:p w:rsidR="00CD68AC" w:rsidRPr="00781ED3" w:rsidRDefault="00CD68AC" w:rsidP="00CD68AC">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spoštovati določila Zakona o elektronskih komunikacijah (ZEKom-1), še posebej 24. člen in 204. člen;</w:t>
      </w:r>
    </w:p>
    <w:p w:rsidR="00CD68AC" w:rsidRPr="00781ED3" w:rsidRDefault="00CD68AC" w:rsidP="00CD68AC">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 xml:space="preserve">izvesti </w:t>
      </w:r>
      <w:r w:rsidRPr="00781ED3">
        <w:rPr>
          <w:rFonts w:ascii="Tahoma" w:hAnsi="Tahoma" w:cs="Tahoma"/>
          <w:sz w:val="22"/>
          <w:szCs w:val="22"/>
          <w:lang w:val="sl-SI"/>
        </w:rPr>
        <w:t>transparentno javno posvetovanje;</w:t>
      </w:r>
    </w:p>
    <w:p w:rsidR="00CD68AC" w:rsidRPr="00781ED3" w:rsidRDefault="00CD68AC" w:rsidP="00CD68AC">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pred nadaljevanjem aktivnosti v zvezi z novim večfrekvenčnim razpisom zavzeti jasna stališča glede pričakovane vloge mobilnih tehnologij in v zvezi s t</w:t>
      </w:r>
      <w:r w:rsidRPr="00781ED3">
        <w:rPr>
          <w:rFonts w:ascii="Tahoma" w:hAnsi="Tahoma" w:cs="Tahoma"/>
          <w:sz w:val="22"/>
          <w:szCs w:val="22"/>
          <w:lang w:val="sl-SI"/>
        </w:rPr>
        <w:t>em pridobiti mnenje operaterjev ter</w:t>
      </w:r>
    </w:p>
    <w:p w:rsidR="00CD68AC" w:rsidRPr="00781ED3" w:rsidRDefault="00CD68AC" w:rsidP="00CD68AC">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pri pripravi frekvenčne strategije upoštevati enotna stališča Evropske komisije, ki bodo zagotovila tudi ustrezno čezmejno delovanje mobilnih storitev in možnost sklepanja »</w:t>
      </w:r>
      <w:proofErr w:type="spellStart"/>
      <w:r w:rsidRPr="00781ED3">
        <w:rPr>
          <w:rFonts w:ascii="Tahoma" w:hAnsi="Tahoma" w:cs="Tahoma"/>
          <w:sz w:val="22"/>
          <w:szCs w:val="22"/>
          <w:lang w:val="sl-SI"/>
        </w:rPr>
        <w:t>roaming</w:t>
      </w:r>
      <w:proofErr w:type="spellEnd"/>
      <w:r w:rsidRPr="00781ED3">
        <w:rPr>
          <w:rFonts w:ascii="Tahoma" w:hAnsi="Tahoma" w:cs="Tahoma"/>
          <w:sz w:val="22"/>
          <w:szCs w:val="22"/>
          <w:lang w:val="sl-SI"/>
        </w:rPr>
        <w:t>« dogovorov.</w:t>
      </w:r>
    </w:p>
    <w:p w:rsidR="00CD68AC" w:rsidRPr="00781ED3" w:rsidRDefault="00CD68AC"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Naslednji koraki, ki jih člani SOEK v zvezi s strateškim upravljanjem frekvenčnega spektra za mobilne komunikacije</w:t>
      </w:r>
      <w:r w:rsidR="006108D0" w:rsidRPr="00781ED3">
        <w:rPr>
          <w:rFonts w:ascii="Tahoma" w:hAnsi="Tahoma" w:cs="Tahoma"/>
          <w:sz w:val="22"/>
          <w:szCs w:val="22"/>
          <w:lang w:val="sl-SI"/>
        </w:rPr>
        <w:t xml:space="preserve"> pričakujej</w:t>
      </w:r>
      <w:r w:rsidRPr="00781ED3">
        <w:rPr>
          <w:rFonts w:ascii="Tahoma" w:hAnsi="Tahoma" w:cs="Tahoma"/>
          <w:sz w:val="22"/>
          <w:szCs w:val="22"/>
          <w:lang w:val="sl-SI"/>
        </w:rPr>
        <w:t>o</w:t>
      </w:r>
      <w:r w:rsidR="006108D0" w:rsidRPr="00781ED3">
        <w:rPr>
          <w:rFonts w:ascii="Tahoma" w:hAnsi="Tahoma" w:cs="Tahoma"/>
          <w:sz w:val="22"/>
          <w:szCs w:val="22"/>
          <w:lang w:val="sl-SI"/>
        </w:rPr>
        <w:t>,</w:t>
      </w:r>
      <w:r w:rsidRPr="00781ED3">
        <w:rPr>
          <w:rFonts w:ascii="Tahoma" w:hAnsi="Tahoma" w:cs="Tahoma"/>
          <w:sz w:val="22"/>
          <w:szCs w:val="22"/>
          <w:lang w:val="sl-SI"/>
        </w:rPr>
        <w:t xml:space="preserve"> so:</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zadržati vse aktivnosti za pripravo nove večfrekvenčne dražbe do razjasnitve trenutne situacije glede strategije in potreb operaterjev po dodatnih frekvencah;</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v nacionalni strategiji načrtovanja širokopasovnih omrežij</w:t>
      </w:r>
      <w:r w:rsidRPr="00781ED3">
        <w:rPr>
          <w:rStyle w:val="Sprotnaopomba-sklic"/>
          <w:rFonts w:ascii="Tahoma" w:hAnsi="Tahoma" w:cs="Tahoma"/>
          <w:sz w:val="22"/>
          <w:szCs w:val="22"/>
          <w:lang w:val="sl-SI"/>
        </w:rPr>
        <w:footnoteReference w:id="1"/>
      </w:r>
      <w:r w:rsidRPr="00781ED3">
        <w:rPr>
          <w:rFonts w:ascii="Tahoma" w:hAnsi="Tahoma" w:cs="Tahoma"/>
          <w:sz w:val="22"/>
          <w:szCs w:val="22"/>
          <w:lang w:val="sl-SI"/>
        </w:rPr>
        <w:t xml:space="preserve"> naslednje generacije analizirati trenutno stanje na področju frekvenc ter pričakovan trend razvoja mobilnih tehnologij ter podati strateške usmeritve;</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pred pripravo frekvenčne strategije predhodno pridobiti informacije od operaterjev glede njihovih prihodnjih potreb glede frekvenc in jih na podlagi javnega posvetovanja umestiti v prihodnjo strategijo dodeljevanja frekvenc;</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šele po vseh navedenih korakih nadaljevati postopek priprave večfrekvenčne dražbe in sprejema Strategije razvoja informacijske družbe do leta 2020.</w:t>
      </w:r>
    </w:p>
    <w:p w:rsidR="003373C3" w:rsidRPr="00781ED3" w:rsidRDefault="003373C3" w:rsidP="003373C3">
      <w:pPr>
        <w:jc w:val="both"/>
        <w:rPr>
          <w:rFonts w:ascii="Tahoma" w:hAnsi="Tahoma" w:cs="Tahoma"/>
          <w:sz w:val="22"/>
          <w:szCs w:val="22"/>
          <w:lang w:val="sl-SI"/>
        </w:rPr>
      </w:pPr>
    </w:p>
    <w:p w:rsidR="00CD68AC" w:rsidRPr="00781ED3" w:rsidRDefault="00CD68AC" w:rsidP="00CD68AC">
      <w:pPr>
        <w:jc w:val="both"/>
        <w:rPr>
          <w:rFonts w:ascii="Tahoma" w:hAnsi="Tahoma" w:cs="Tahoma"/>
          <w:sz w:val="22"/>
          <w:szCs w:val="22"/>
          <w:lang w:val="sl-SI"/>
        </w:rPr>
      </w:pPr>
      <w:r w:rsidRPr="00781ED3">
        <w:rPr>
          <w:rFonts w:ascii="Tahoma" w:hAnsi="Tahoma" w:cs="Tahoma"/>
          <w:sz w:val="22"/>
          <w:szCs w:val="22"/>
          <w:lang w:val="sl-SI"/>
        </w:rPr>
        <w:t xml:space="preserve">Posvet je potekal v organizaciji Ministrstva za izobraževanje, znanost in šport (MIZŠ) ter Agencije za komunikacijska omrežja in storitve (AKOS) v dogovoru z Gospodarsko zbornico Slovenije, Sekcijo operaterjev elektronskih komunikacij (SOEK), 2. aprila 2015.  </w:t>
      </w:r>
    </w:p>
    <w:p w:rsidR="006108D0" w:rsidRPr="00781ED3" w:rsidRDefault="006108D0" w:rsidP="00CD68AC">
      <w:pPr>
        <w:jc w:val="both"/>
        <w:rPr>
          <w:rFonts w:ascii="Tahoma" w:hAnsi="Tahoma" w:cs="Tahoma"/>
          <w:sz w:val="22"/>
          <w:szCs w:val="22"/>
          <w:lang w:val="sl-SI"/>
        </w:rPr>
      </w:pPr>
    </w:p>
    <w:p w:rsidR="00781ED3" w:rsidRDefault="00781ED3" w:rsidP="006108D0">
      <w:pPr>
        <w:jc w:val="both"/>
        <w:rPr>
          <w:rFonts w:ascii="Tahoma" w:hAnsi="Tahoma" w:cs="Tahoma"/>
          <w:b/>
          <w:sz w:val="22"/>
          <w:szCs w:val="22"/>
          <w:lang w:val="sl-SI"/>
        </w:rPr>
      </w:pPr>
    </w:p>
    <w:p w:rsidR="003373C3" w:rsidRDefault="006108D0" w:rsidP="006108D0">
      <w:pPr>
        <w:jc w:val="both"/>
        <w:rPr>
          <w:rFonts w:ascii="Tahoma" w:hAnsi="Tahoma" w:cs="Tahoma"/>
          <w:b/>
          <w:sz w:val="22"/>
          <w:szCs w:val="22"/>
          <w:lang w:val="sl-SI"/>
        </w:rPr>
      </w:pPr>
      <w:r w:rsidRPr="00781ED3">
        <w:rPr>
          <w:rFonts w:ascii="Tahoma" w:hAnsi="Tahoma" w:cs="Tahoma"/>
          <w:b/>
          <w:sz w:val="22"/>
          <w:szCs w:val="22"/>
          <w:lang w:val="sl-SI"/>
        </w:rPr>
        <w:lastRenderedPageBreak/>
        <w:t>Več informacij o</w:t>
      </w:r>
      <w:r w:rsidRPr="00781ED3">
        <w:rPr>
          <w:rFonts w:ascii="Tahoma" w:hAnsi="Tahoma" w:cs="Tahoma"/>
          <w:sz w:val="22"/>
          <w:szCs w:val="22"/>
          <w:lang w:val="sl-SI"/>
        </w:rPr>
        <w:t xml:space="preserve"> </w:t>
      </w:r>
      <w:r w:rsidR="003373C3" w:rsidRPr="00781ED3">
        <w:rPr>
          <w:rFonts w:ascii="Tahoma" w:hAnsi="Tahoma" w:cs="Tahoma"/>
          <w:b/>
          <w:sz w:val="22"/>
          <w:szCs w:val="22"/>
          <w:lang w:val="sl-SI"/>
        </w:rPr>
        <w:t>Sekciji operaterjev elektronskih komunikacij pri Gospodarski zbornici</w:t>
      </w:r>
    </w:p>
    <w:p w:rsidR="00781ED3" w:rsidRPr="00781ED3" w:rsidRDefault="00781ED3" w:rsidP="006108D0">
      <w:pPr>
        <w:jc w:val="both"/>
        <w:rPr>
          <w:rFonts w:ascii="Tahoma" w:hAnsi="Tahoma" w:cs="Tahoma"/>
          <w:b/>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 xml:space="preserve">Sekcija operaterjev elektronskih komunikacij pri </w:t>
      </w:r>
      <w:r w:rsidR="00781ED3" w:rsidRPr="00781ED3">
        <w:rPr>
          <w:rFonts w:ascii="Tahoma" w:hAnsi="Tahoma" w:cs="Tahoma"/>
          <w:sz w:val="22"/>
          <w:szCs w:val="22"/>
          <w:lang w:val="sl-SI"/>
        </w:rPr>
        <w:t>GZS-Združenju za informatiko in telekomunikacije</w:t>
      </w:r>
      <w:r w:rsidRPr="00781ED3">
        <w:rPr>
          <w:rFonts w:ascii="Tahoma" w:hAnsi="Tahoma" w:cs="Tahoma"/>
          <w:sz w:val="22"/>
          <w:szCs w:val="22"/>
          <w:lang w:val="sl-SI"/>
        </w:rPr>
        <w:t xml:space="preserve"> združuje operaterje elektronskih komunikacij družbe </w:t>
      </w:r>
      <w:proofErr w:type="spellStart"/>
      <w:r w:rsidRPr="00781ED3">
        <w:rPr>
          <w:rFonts w:ascii="Tahoma" w:hAnsi="Tahoma" w:cs="Tahoma"/>
          <w:sz w:val="22"/>
          <w:szCs w:val="22"/>
          <w:lang w:val="sl-SI"/>
        </w:rPr>
        <w:t>Amis</w:t>
      </w:r>
      <w:proofErr w:type="spellEnd"/>
      <w:r w:rsidRPr="00781ED3">
        <w:rPr>
          <w:rFonts w:ascii="Tahoma" w:hAnsi="Tahoma" w:cs="Tahoma"/>
          <w:sz w:val="22"/>
          <w:szCs w:val="22"/>
          <w:lang w:val="sl-SI"/>
        </w:rPr>
        <w:t xml:space="preserve"> d.o.o., Debitel </w:t>
      </w:r>
      <w:proofErr w:type="spellStart"/>
      <w:r w:rsidRPr="00781ED3">
        <w:rPr>
          <w:rFonts w:ascii="Tahoma" w:hAnsi="Tahoma" w:cs="Tahoma"/>
          <w:sz w:val="22"/>
          <w:szCs w:val="22"/>
          <w:lang w:val="sl-SI"/>
        </w:rPr>
        <w:t>d.d</w:t>
      </w:r>
      <w:proofErr w:type="spellEnd"/>
      <w:r w:rsidRPr="00781ED3">
        <w:rPr>
          <w:rFonts w:ascii="Tahoma" w:hAnsi="Tahoma" w:cs="Tahoma"/>
          <w:sz w:val="22"/>
          <w:szCs w:val="22"/>
          <w:lang w:val="sl-SI"/>
        </w:rPr>
        <w:t xml:space="preserve">., SI.MOBIL </w:t>
      </w:r>
      <w:proofErr w:type="spellStart"/>
      <w:r w:rsidRPr="00781ED3">
        <w:rPr>
          <w:rFonts w:ascii="Tahoma" w:hAnsi="Tahoma" w:cs="Tahoma"/>
          <w:sz w:val="22"/>
          <w:szCs w:val="22"/>
          <w:lang w:val="sl-SI"/>
        </w:rPr>
        <w:t>d.d</w:t>
      </w:r>
      <w:proofErr w:type="spellEnd"/>
      <w:r w:rsidRPr="00781ED3">
        <w:rPr>
          <w:rFonts w:ascii="Tahoma" w:hAnsi="Tahoma" w:cs="Tahoma"/>
          <w:sz w:val="22"/>
          <w:szCs w:val="22"/>
          <w:lang w:val="sl-SI"/>
        </w:rPr>
        <w:t xml:space="preserve">., Telekom Slovenije </w:t>
      </w:r>
      <w:proofErr w:type="spellStart"/>
      <w:r w:rsidRPr="00781ED3">
        <w:rPr>
          <w:rFonts w:ascii="Tahoma" w:hAnsi="Tahoma" w:cs="Tahoma"/>
          <w:sz w:val="22"/>
          <w:szCs w:val="22"/>
          <w:lang w:val="sl-SI"/>
        </w:rPr>
        <w:t>d.d</w:t>
      </w:r>
      <w:proofErr w:type="spellEnd"/>
      <w:r w:rsidRPr="00781ED3">
        <w:rPr>
          <w:rFonts w:ascii="Tahoma" w:hAnsi="Tahoma" w:cs="Tahoma"/>
          <w:sz w:val="22"/>
          <w:szCs w:val="22"/>
          <w:lang w:val="sl-SI"/>
        </w:rPr>
        <w:t xml:space="preserve">. in Tušmobil d.o.o. (v nadaljevanju: SOEK), katerih prihodki so v letu 2013 znašali 982 mio EUR, kar predstavlja 2,7 % Slovenskega BDP. V sektorju elektronskih komunikacij je bilo v letu 2013 zaposlenih 5.800 oseb, od tega v članicah SOEK 3.722. Sektor je skupno ustvaril 1.125 </w:t>
      </w:r>
      <w:proofErr w:type="spellStart"/>
      <w:r w:rsidRPr="00781ED3">
        <w:rPr>
          <w:rFonts w:ascii="Tahoma" w:hAnsi="Tahoma" w:cs="Tahoma"/>
          <w:sz w:val="22"/>
          <w:szCs w:val="22"/>
          <w:lang w:val="sl-SI"/>
        </w:rPr>
        <w:t>milionov</w:t>
      </w:r>
      <w:proofErr w:type="spellEnd"/>
      <w:r w:rsidRPr="00781ED3">
        <w:rPr>
          <w:rFonts w:ascii="Tahoma" w:hAnsi="Tahoma" w:cs="Tahoma"/>
          <w:sz w:val="22"/>
          <w:szCs w:val="22"/>
          <w:lang w:val="sl-SI"/>
        </w:rPr>
        <w:t xml:space="preserve"> EUR prihodkov, od tega članice SOEK 87 odstotkov. Investicije v panogi so v letu 2013 znašale 151 milijonov EUR</w:t>
      </w:r>
      <w:r w:rsidRPr="00781ED3">
        <w:rPr>
          <w:rStyle w:val="Sprotnaopomba-sklic"/>
          <w:rFonts w:ascii="Tahoma" w:hAnsi="Tahoma" w:cs="Tahoma"/>
          <w:sz w:val="22"/>
          <w:szCs w:val="22"/>
          <w:lang w:val="sl-SI"/>
        </w:rPr>
        <w:footnoteReference w:id="2"/>
      </w:r>
      <w:r w:rsidRPr="00781ED3">
        <w:rPr>
          <w:rFonts w:ascii="Tahoma" w:hAnsi="Tahoma" w:cs="Tahoma"/>
          <w:sz w:val="22"/>
          <w:szCs w:val="22"/>
          <w:lang w:val="sl-SI"/>
        </w:rPr>
        <w:t xml:space="preserve"> od tega so članice SOEK investirale 113 </w:t>
      </w:r>
      <w:proofErr w:type="spellStart"/>
      <w:r w:rsidRPr="00781ED3">
        <w:rPr>
          <w:rFonts w:ascii="Tahoma" w:hAnsi="Tahoma" w:cs="Tahoma"/>
          <w:sz w:val="22"/>
          <w:szCs w:val="22"/>
          <w:lang w:val="sl-SI"/>
        </w:rPr>
        <w:t>milionov</w:t>
      </w:r>
      <w:proofErr w:type="spellEnd"/>
      <w:r w:rsidRPr="00781ED3">
        <w:rPr>
          <w:rFonts w:ascii="Tahoma" w:hAnsi="Tahoma" w:cs="Tahoma"/>
          <w:sz w:val="22"/>
          <w:szCs w:val="22"/>
          <w:lang w:val="sl-SI"/>
        </w:rPr>
        <w:t xml:space="preserve"> EUR. V letu 2014 so se investicije članic SOEK znatno zvišale</w:t>
      </w:r>
      <w:r w:rsidRPr="00781ED3">
        <w:rPr>
          <w:rStyle w:val="Sprotnaopomba-sklic"/>
          <w:rFonts w:ascii="Tahoma" w:hAnsi="Tahoma" w:cs="Tahoma"/>
          <w:sz w:val="22"/>
          <w:szCs w:val="22"/>
          <w:lang w:val="sl-SI"/>
        </w:rPr>
        <w:footnoteReference w:id="3"/>
      </w:r>
      <w:r w:rsidRPr="00781ED3">
        <w:rPr>
          <w:rFonts w:ascii="Tahoma" w:hAnsi="Tahoma" w:cs="Tahoma"/>
          <w:sz w:val="22"/>
          <w:szCs w:val="22"/>
          <w:lang w:val="sl-SI"/>
        </w:rPr>
        <w:t>, na 275 mio EUR. Ta trend se bo nadaljeval tudi v letu 2015.</w:t>
      </w:r>
    </w:p>
    <w:p w:rsidR="003373C3" w:rsidRPr="00781ED3" w:rsidRDefault="003373C3" w:rsidP="003373C3">
      <w:pPr>
        <w:jc w:val="both"/>
        <w:rPr>
          <w:rFonts w:ascii="Tahoma" w:hAnsi="Tahoma" w:cs="Tahoma"/>
          <w:sz w:val="22"/>
          <w:szCs w:val="22"/>
          <w:lang w:val="sl-SI"/>
        </w:rPr>
      </w:pPr>
    </w:p>
    <w:p w:rsidR="006108D0" w:rsidRPr="00781ED3" w:rsidRDefault="006108D0" w:rsidP="003373C3">
      <w:pPr>
        <w:jc w:val="both"/>
        <w:rPr>
          <w:rFonts w:ascii="Tahoma" w:hAnsi="Tahoma" w:cs="Tahoma"/>
          <w:b/>
          <w:sz w:val="22"/>
          <w:szCs w:val="22"/>
          <w:lang w:val="sl-SI"/>
        </w:rPr>
      </w:pPr>
    </w:p>
    <w:p w:rsidR="003373C3" w:rsidRPr="00781ED3" w:rsidRDefault="003373C3" w:rsidP="003373C3">
      <w:pPr>
        <w:jc w:val="both"/>
        <w:rPr>
          <w:rFonts w:ascii="Tahoma" w:hAnsi="Tahoma" w:cs="Tahoma"/>
          <w:b/>
          <w:sz w:val="22"/>
          <w:szCs w:val="22"/>
          <w:lang w:val="sl-SI"/>
        </w:rPr>
      </w:pPr>
      <w:r w:rsidRPr="00781ED3">
        <w:rPr>
          <w:rFonts w:ascii="Tahoma" w:hAnsi="Tahoma" w:cs="Tahoma"/>
          <w:b/>
          <w:sz w:val="22"/>
          <w:szCs w:val="22"/>
          <w:lang w:val="sl-SI"/>
        </w:rPr>
        <w:t>V</w:t>
      </w:r>
      <w:r w:rsidR="006108D0" w:rsidRPr="00781ED3">
        <w:rPr>
          <w:rFonts w:ascii="Tahoma" w:hAnsi="Tahoma" w:cs="Tahoma"/>
          <w:b/>
          <w:sz w:val="22"/>
          <w:szCs w:val="22"/>
          <w:lang w:val="sl-SI"/>
        </w:rPr>
        <w:t>eč informacij o stališču</w:t>
      </w:r>
      <w:r w:rsidRPr="00781ED3">
        <w:rPr>
          <w:rFonts w:ascii="Tahoma" w:hAnsi="Tahoma" w:cs="Tahoma"/>
          <w:b/>
          <w:sz w:val="22"/>
          <w:szCs w:val="22"/>
          <w:lang w:val="sl-SI"/>
        </w:rPr>
        <w:t xml:space="preserve"> članov SOEK</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Slovenija je v lanskem letu zaključila pomembno večfrekvenčno dražbo</w:t>
      </w:r>
      <w:r w:rsidR="006108D0" w:rsidRPr="00781ED3">
        <w:rPr>
          <w:rFonts w:ascii="Tahoma" w:hAnsi="Tahoma" w:cs="Tahoma"/>
          <w:sz w:val="22"/>
          <w:szCs w:val="22"/>
          <w:lang w:val="sl-SI"/>
        </w:rPr>
        <w:t>,</w:t>
      </w:r>
      <w:r w:rsidRPr="00781ED3">
        <w:rPr>
          <w:rFonts w:ascii="Tahoma" w:hAnsi="Tahoma" w:cs="Tahoma"/>
          <w:sz w:val="22"/>
          <w:szCs w:val="22"/>
          <w:lang w:val="sl-SI"/>
        </w:rPr>
        <w:t xml:space="preserve"> na kateri je bila podeljena večina razpoložljivih frekvenc. Med drugim so bile podeljene tudi frekvence v pasu 800 MHz, ki predstavljajo pomemben vir za doseganje ciljev Digitalne agende. S tem ciljem so bile enemu izmed operaterjev, ki je pridobil določen del tega pasu</w:t>
      </w:r>
      <w:r w:rsidR="006108D0" w:rsidRPr="00781ED3">
        <w:rPr>
          <w:rFonts w:ascii="Tahoma" w:hAnsi="Tahoma" w:cs="Tahoma"/>
          <w:sz w:val="22"/>
          <w:szCs w:val="22"/>
          <w:lang w:val="sl-SI"/>
        </w:rPr>
        <w:t>,</w:t>
      </w:r>
      <w:r w:rsidRPr="00781ED3">
        <w:rPr>
          <w:rFonts w:ascii="Tahoma" w:hAnsi="Tahoma" w:cs="Tahoma"/>
          <w:sz w:val="22"/>
          <w:szCs w:val="22"/>
          <w:lang w:val="sl-SI"/>
        </w:rPr>
        <w:t xml:space="preserve"> naložene tudi posebne obveznosti zagotovitve pokrivanja vsaj 225 naselij na področju belih lis s širokopasovnim mobilnim internetom na fiksni lokaciji. </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Trije slovenski operaterji so za pridobitev razpisanih frekvenc plačali skoraj 150 milijonov EUR, pri čemer bodo vlaganja v razvoj širokopasovnega mobilnega omrežja LTE in LTE-</w:t>
      </w:r>
      <w:proofErr w:type="spellStart"/>
      <w:r w:rsidRPr="00781ED3">
        <w:rPr>
          <w:rFonts w:ascii="Tahoma" w:hAnsi="Tahoma" w:cs="Tahoma"/>
          <w:sz w:val="22"/>
          <w:szCs w:val="22"/>
          <w:lang w:val="sl-SI"/>
        </w:rPr>
        <w:t>Advanced</w:t>
      </w:r>
      <w:proofErr w:type="spellEnd"/>
      <w:r w:rsidRPr="00781ED3">
        <w:rPr>
          <w:rFonts w:ascii="Tahoma" w:hAnsi="Tahoma" w:cs="Tahoma"/>
          <w:sz w:val="22"/>
          <w:szCs w:val="22"/>
          <w:lang w:val="sl-SI"/>
        </w:rPr>
        <w:t xml:space="preserve"> v naslednjih letih najmanj tolikšna, verjetno še večja. </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Konec lanskega leta smo zato z začudenjem prebrali novico Agencije za komunikacijska omrežja in storitve, ki je najavila novo večfrekvenčno dražbo v letošnjem letu in to brez kakršnegakoli javnega posvetovanja z relevantno javnostjo</w:t>
      </w:r>
      <w:r w:rsidR="006108D0" w:rsidRPr="00781ED3">
        <w:rPr>
          <w:rFonts w:ascii="Tahoma" w:hAnsi="Tahoma" w:cs="Tahoma"/>
          <w:sz w:val="22"/>
          <w:szCs w:val="22"/>
          <w:lang w:val="sl-SI"/>
        </w:rPr>
        <w:t>,</w:t>
      </w:r>
      <w:r w:rsidRPr="00781ED3">
        <w:rPr>
          <w:rFonts w:ascii="Tahoma" w:hAnsi="Tahoma" w:cs="Tahoma"/>
          <w:sz w:val="22"/>
          <w:szCs w:val="22"/>
          <w:lang w:val="sl-SI"/>
        </w:rPr>
        <w:t xml:space="preserve"> v katero nedvomno štejejo mobilni operaterji. </w:t>
      </w:r>
      <w:r w:rsidR="006108D0" w:rsidRPr="00781ED3">
        <w:rPr>
          <w:rFonts w:ascii="Tahoma" w:hAnsi="Tahoma" w:cs="Tahoma"/>
          <w:sz w:val="22"/>
          <w:szCs w:val="22"/>
          <w:lang w:val="sl-SI"/>
        </w:rPr>
        <w:t>Člani SOEK s</w:t>
      </w:r>
      <w:r w:rsidRPr="00781ED3">
        <w:rPr>
          <w:rFonts w:ascii="Tahoma" w:hAnsi="Tahoma" w:cs="Tahoma"/>
          <w:sz w:val="22"/>
          <w:szCs w:val="22"/>
          <w:lang w:val="sl-SI"/>
        </w:rPr>
        <w:t xml:space="preserve">o izrazili pomislek o </w:t>
      </w:r>
      <w:proofErr w:type="spellStart"/>
      <w:r w:rsidRPr="00781ED3">
        <w:rPr>
          <w:rFonts w:ascii="Tahoma" w:hAnsi="Tahoma" w:cs="Tahoma"/>
          <w:sz w:val="22"/>
          <w:szCs w:val="22"/>
          <w:lang w:val="sl-SI"/>
        </w:rPr>
        <w:t>preuranjenosti</w:t>
      </w:r>
      <w:proofErr w:type="spellEnd"/>
      <w:r w:rsidRPr="00781ED3">
        <w:rPr>
          <w:rFonts w:ascii="Tahoma" w:hAnsi="Tahoma" w:cs="Tahoma"/>
          <w:sz w:val="22"/>
          <w:szCs w:val="22"/>
          <w:lang w:val="sl-SI"/>
        </w:rPr>
        <w:t xml:space="preserve"> izvedbe postopka izbire ponudnika za izvedbo strokovnih svetovalnih storitev in dostopa do programske opreme, saj ni jasne nacionalne strategije glede razvoja širokopasovnih omrežij naslednje generacije niti niso znane strateške usmeritve s strani ministrstva. Člani SOEK </w:t>
      </w:r>
      <w:r w:rsidR="006108D0" w:rsidRPr="00781ED3">
        <w:rPr>
          <w:rFonts w:ascii="Tahoma" w:hAnsi="Tahoma" w:cs="Tahoma"/>
          <w:sz w:val="22"/>
          <w:szCs w:val="22"/>
          <w:lang w:val="sl-SI"/>
        </w:rPr>
        <w:t>verjamej</w:t>
      </w:r>
      <w:r w:rsidRPr="00781ED3">
        <w:rPr>
          <w:rFonts w:ascii="Tahoma" w:hAnsi="Tahoma" w:cs="Tahoma"/>
          <w:sz w:val="22"/>
          <w:szCs w:val="22"/>
          <w:lang w:val="sl-SI"/>
        </w:rPr>
        <w:t xml:space="preserve">o, da je izvedba postopka ob izostanku navedenih gradnikov nesprejemljiva, ni skladna z ZEKom ter ne pomeni racionalnega upravljanja z </w:t>
      </w:r>
      <w:proofErr w:type="spellStart"/>
      <w:r w:rsidRPr="00781ED3">
        <w:rPr>
          <w:rFonts w:ascii="Tahoma" w:hAnsi="Tahoma" w:cs="Tahoma"/>
          <w:sz w:val="22"/>
          <w:szCs w:val="22"/>
          <w:lang w:val="sl-SI"/>
        </w:rPr>
        <w:t>radiofrekvenčnim</w:t>
      </w:r>
      <w:proofErr w:type="spellEnd"/>
      <w:r w:rsidRPr="00781ED3">
        <w:rPr>
          <w:rFonts w:ascii="Tahoma" w:hAnsi="Tahoma" w:cs="Tahoma"/>
          <w:sz w:val="22"/>
          <w:szCs w:val="22"/>
          <w:lang w:val="sl-SI"/>
        </w:rPr>
        <w:t xml:space="preserve"> spektrom. Agencija je že v skladu z zavezo, ki jo je podala v veljavnem Planu dela 2015 dolžna, da pred nadaljevanjem postopka opravi kvalitetno posvetovanje z zainteresirano javnostjo o tem, kateri frekvenčni pasovi, kdaj in na kakšen način naj bi se podeljevali na prihodnjih dražbah, ob tem da Agencija tudi predstavi svoj predlog strategije upravljanja frekvenčnega spektra in pojasni, kako namerava uskladiti svojo strategijo s strateškimi dokumenti s področja informacijske družbe.</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 xml:space="preserve">Vzporedno z objavo glede pričetka postopkov za izvedbo nove večfrekvenčne dražbe poteka javno posvetovanje glede sprejetja strateških razvojnih dokumentov na področju informacijske družbe, katerih sestavni del je tudi Načrt razvoja širokopasovnih omrežij naslednje generacije do leta 2020. V teh dokumentih ni jasne vizije glede vloge mobilnih tehnologij za doseganje ciljev Digitalne agende in ocene vpliva financiranja gradnje </w:t>
      </w:r>
      <w:r w:rsidRPr="00781ED3">
        <w:rPr>
          <w:rFonts w:ascii="Tahoma" w:hAnsi="Tahoma" w:cs="Tahoma"/>
          <w:sz w:val="22"/>
          <w:szCs w:val="22"/>
          <w:lang w:val="sl-SI"/>
        </w:rPr>
        <w:lastRenderedPageBreak/>
        <w:t xml:space="preserve">fiksnih širokopasovnih optičnih omrežij do vsakega gospodinjstva na razvoj mobilnih omrežij. </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Ob tem bi želeli ponovno dodatno opozoriti na neskladja med stališči regulatorja in pristojnega</w:t>
      </w:r>
      <w:r w:rsidRPr="00781ED3">
        <w:rPr>
          <w:rFonts w:ascii="Tahoma" w:hAnsi="Tahoma" w:cs="Tahoma"/>
          <w:sz w:val="22"/>
          <w:szCs w:val="22"/>
          <w:lang w:val="sl-SI"/>
        </w:rPr>
        <w:br/>
        <w:t>ministrstva glede doseganja ciljev Digitalne agende. Agencija njihovo doseganje navezuje na podeljevanje frekvenc v pasu 700 MHz, pri čemer javno objavljena Izhodišča za javno razpravo Strategije razvoja informacijske družbe do leta 2020</w:t>
      </w:r>
      <w:r w:rsidRPr="00781ED3">
        <w:rPr>
          <w:rStyle w:val="Sprotnaopomba-sklic"/>
          <w:rFonts w:ascii="Tahoma" w:hAnsi="Tahoma" w:cs="Tahoma"/>
          <w:sz w:val="22"/>
          <w:szCs w:val="22"/>
          <w:lang w:val="sl-SI"/>
        </w:rPr>
        <w:footnoteReference w:id="4"/>
      </w:r>
      <w:r w:rsidRPr="00781ED3">
        <w:rPr>
          <w:rFonts w:ascii="Tahoma" w:hAnsi="Tahoma" w:cs="Tahoma"/>
          <w:sz w:val="22"/>
          <w:szCs w:val="22"/>
          <w:lang w:val="sl-SI"/>
        </w:rPr>
        <w:t xml:space="preserve"> brezžičnih (mobilnih) širokopasovnih omrežij sploh ne omenjajo kot možne tehnologije za doseganje slovenskih ciljev Digitalne agende. Za razliko od relevantnih EU dokumentov, ki zahtevajo tehnološko nevtralnost in s tem mobilno tehnologijo kot enakovredno tehnologijo za doseganje ciljev Digitalne agende. </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Trenutna situacija glede gradnje LTE omrežij je naslednja:</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dva operaterja z LTE omrežjem pokrivata že več kot 75 oz. skupaj 80% prebivalstva,</w:t>
      </w:r>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slovenski mobilni operaterji med prvimi na svetu uvajajo tehnologijo LTE-</w:t>
      </w:r>
      <w:proofErr w:type="spellStart"/>
      <w:r w:rsidRPr="00781ED3">
        <w:rPr>
          <w:rFonts w:ascii="Tahoma" w:hAnsi="Tahoma" w:cs="Tahoma"/>
          <w:sz w:val="22"/>
          <w:szCs w:val="22"/>
          <w:lang w:val="sl-SI"/>
        </w:rPr>
        <w:t>Advanced</w:t>
      </w:r>
      <w:proofErr w:type="spellEnd"/>
    </w:p>
    <w:p w:rsidR="003373C3" w:rsidRPr="00781ED3" w:rsidRDefault="003373C3" w:rsidP="003373C3">
      <w:pPr>
        <w:pStyle w:val="Odstavekseznama"/>
        <w:numPr>
          <w:ilvl w:val="0"/>
          <w:numId w:val="11"/>
        </w:numPr>
        <w:jc w:val="both"/>
        <w:rPr>
          <w:rFonts w:ascii="Tahoma" w:hAnsi="Tahoma" w:cs="Tahoma"/>
          <w:sz w:val="22"/>
          <w:szCs w:val="22"/>
          <w:lang w:val="sl-SI"/>
        </w:rPr>
      </w:pPr>
      <w:r w:rsidRPr="00781ED3">
        <w:rPr>
          <w:rFonts w:ascii="Tahoma" w:hAnsi="Tahoma" w:cs="Tahoma"/>
          <w:sz w:val="22"/>
          <w:szCs w:val="22"/>
          <w:lang w:val="sl-SI"/>
        </w:rPr>
        <w:t>operater s posebnimi obveznostmi pokrivanja pospešeno gradi omrežje na področjih belih lis.</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Glede na pričakovan razvoj mobilnih omrežij in storitev ter lastne investicijske načrte lahko le operaterji sami ocenijo</w:t>
      </w:r>
      <w:r w:rsidR="00A433F3" w:rsidRPr="00781ED3">
        <w:rPr>
          <w:rFonts w:ascii="Tahoma" w:hAnsi="Tahoma" w:cs="Tahoma"/>
          <w:sz w:val="22"/>
          <w:szCs w:val="22"/>
          <w:lang w:val="sl-SI"/>
        </w:rPr>
        <w:t>,</w:t>
      </w:r>
      <w:r w:rsidRPr="00781ED3">
        <w:rPr>
          <w:rFonts w:ascii="Tahoma" w:hAnsi="Tahoma" w:cs="Tahoma"/>
          <w:sz w:val="22"/>
          <w:szCs w:val="22"/>
          <w:lang w:val="sl-SI"/>
        </w:rPr>
        <w:t xml:space="preserve"> kakšne bodo njihove prihodnje frekvenčne potrebe, zato pričakujemo, da bodo relevantni deležniki pred pripravo strateških dokumentov, ki bodo osnova za prihodnje frekvenčne razpise to informacijo pridobili neposredno od operaterjev. Vsekakor je nujno pojasniti tudi načrte države in postaviti jasne temelje za dodelitev naslednjega paketa frekvenc, ki so na razpolago in ki še bodo na razpolago za mobilna širokopasovna omrežja po jesenski svetovni </w:t>
      </w:r>
      <w:proofErr w:type="spellStart"/>
      <w:r w:rsidRPr="00781ED3">
        <w:rPr>
          <w:rFonts w:ascii="Tahoma" w:hAnsi="Tahoma" w:cs="Tahoma"/>
          <w:sz w:val="22"/>
          <w:szCs w:val="22"/>
          <w:lang w:val="sl-SI"/>
        </w:rPr>
        <w:t>radiokomunikacijski</w:t>
      </w:r>
      <w:proofErr w:type="spellEnd"/>
      <w:r w:rsidRPr="00781ED3">
        <w:rPr>
          <w:rFonts w:ascii="Tahoma" w:hAnsi="Tahoma" w:cs="Tahoma"/>
          <w:sz w:val="22"/>
          <w:szCs w:val="22"/>
          <w:lang w:val="sl-SI"/>
        </w:rPr>
        <w:t xml:space="preserve"> konferenci (WRC</w:t>
      </w:r>
      <w:r w:rsidRPr="00781ED3">
        <w:rPr>
          <w:rStyle w:val="Sprotnaopomba-sklic"/>
          <w:rFonts w:ascii="Tahoma" w:hAnsi="Tahoma" w:cs="Tahoma"/>
          <w:sz w:val="22"/>
          <w:szCs w:val="22"/>
          <w:lang w:val="sl-SI"/>
        </w:rPr>
        <w:footnoteReference w:id="5"/>
      </w:r>
      <w:r w:rsidRPr="00781ED3">
        <w:rPr>
          <w:rFonts w:ascii="Tahoma" w:hAnsi="Tahoma" w:cs="Tahoma"/>
          <w:sz w:val="22"/>
          <w:szCs w:val="22"/>
          <w:lang w:val="sl-SI"/>
        </w:rPr>
        <w:t xml:space="preserve">). Vsakršne preuranjene aktivnosti posameznih relevantnih deležnikov v strateška načrtovanja operaterjev vnašajo nesprejemljivo tvegano poslovno okolje in ogrožajo povratek investicije. </w:t>
      </w:r>
    </w:p>
    <w:p w:rsidR="003373C3" w:rsidRPr="00781ED3" w:rsidRDefault="003373C3" w:rsidP="003373C3">
      <w:pPr>
        <w:jc w:val="both"/>
        <w:rPr>
          <w:rFonts w:ascii="Tahoma" w:hAnsi="Tahoma" w:cs="Tahoma"/>
          <w:sz w:val="22"/>
          <w:szCs w:val="22"/>
          <w:lang w:val="sl-SI"/>
        </w:rPr>
      </w:pPr>
    </w:p>
    <w:p w:rsidR="003373C3" w:rsidRPr="00781ED3" w:rsidRDefault="003373C3" w:rsidP="003373C3">
      <w:pPr>
        <w:jc w:val="both"/>
        <w:rPr>
          <w:rFonts w:ascii="Tahoma" w:hAnsi="Tahoma" w:cs="Tahoma"/>
          <w:sz w:val="22"/>
          <w:szCs w:val="22"/>
          <w:lang w:val="sl-SI"/>
        </w:rPr>
      </w:pPr>
      <w:r w:rsidRPr="00781ED3">
        <w:rPr>
          <w:rFonts w:ascii="Tahoma" w:hAnsi="Tahoma" w:cs="Tahoma"/>
          <w:sz w:val="22"/>
          <w:szCs w:val="22"/>
          <w:lang w:val="sl-SI"/>
        </w:rPr>
        <w:t>Kot vsi vemo</w:t>
      </w:r>
      <w:r w:rsidR="00A433F3" w:rsidRPr="00781ED3">
        <w:rPr>
          <w:rFonts w:ascii="Tahoma" w:hAnsi="Tahoma" w:cs="Tahoma"/>
          <w:sz w:val="22"/>
          <w:szCs w:val="22"/>
          <w:lang w:val="sl-SI"/>
        </w:rPr>
        <w:t>,</w:t>
      </w:r>
      <w:r w:rsidRPr="00781ED3">
        <w:rPr>
          <w:rFonts w:ascii="Tahoma" w:hAnsi="Tahoma" w:cs="Tahoma"/>
          <w:sz w:val="22"/>
          <w:szCs w:val="22"/>
          <w:lang w:val="sl-SI"/>
        </w:rPr>
        <w:t xml:space="preserve"> je frekvenčni pas 700 MHz podobno kot pas 800 MHz zelo uporaben za pokrivanje ruralnih področij in za pokrivanje notranjosti zgradb. Kot vemo, je ta pas še vedno namenjen radiodifuziji in tako bo še najmanj do jesenskega WRC. Šele takrat bo ta pas sproščen za širokopasovne mobilne storitve, še vedno pa ni jasno pod kakšnimi pogoji. Na EU nivoju je trenutno stališče v skladu </w:t>
      </w:r>
      <w:proofErr w:type="spellStart"/>
      <w:r w:rsidRPr="00781ED3">
        <w:rPr>
          <w:rFonts w:ascii="Tahoma" w:hAnsi="Tahoma" w:cs="Tahoma"/>
          <w:sz w:val="22"/>
          <w:szCs w:val="22"/>
          <w:lang w:val="sl-SI"/>
        </w:rPr>
        <w:t>Lamy-jevim</w:t>
      </w:r>
      <w:proofErr w:type="spellEnd"/>
      <w:r w:rsidRPr="00781ED3">
        <w:rPr>
          <w:rFonts w:ascii="Tahoma" w:hAnsi="Tahoma" w:cs="Tahoma"/>
          <w:sz w:val="22"/>
          <w:szCs w:val="22"/>
          <w:lang w:val="sl-SI"/>
        </w:rPr>
        <w:t xml:space="preserve"> poročilo, da je potrebno problematiko mednarodne koordinacije urediti do leta 2017 pričakovana potreba operaterjev po uporabi teh frekvenc pa naj bi bila šele med leti 2018 in 2020. Če povzamemo navedeno, glede na trenutno situacijo ni razloga za nekoordinirane in preuranjene ad-hoc aktivnosti. Usklajene rešitve z vsemi relevantnimi deležniki in šele po tem razpis za nove razpoložljive frekvence pričakujemo tako v naslednjih dveh-treh letih. </w:t>
      </w:r>
    </w:p>
    <w:p w:rsidR="003373C3" w:rsidRPr="00781ED3" w:rsidRDefault="003373C3" w:rsidP="003373C3">
      <w:pPr>
        <w:jc w:val="both"/>
        <w:rPr>
          <w:rFonts w:ascii="Tahoma" w:hAnsi="Tahoma" w:cs="Tahoma"/>
          <w:sz w:val="22"/>
          <w:szCs w:val="22"/>
          <w:lang w:val="sl-SI"/>
        </w:rPr>
      </w:pPr>
    </w:p>
    <w:p w:rsidR="003373C3" w:rsidRPr="00781ED3" w:rsidRDefault="003373C3" w:rsidP="003373C3">
      <w:pPr>
        <w:rPr>
          <w:rFonts w:ascii="Tahoma" w:hAnsi="Tahoma" w:cs="Tahoma"/>
          <w:sz w:val="22"/>
          <w:szCs w:val="22"/>
          <w:lang w:val="sl-SI"/>
        </w:rPr>
      </w:pPr>
    </w:p>
    <w:p w:rsidR="001A35DD" w:rsidRPr="00781ED3" w:rsidRDefault="001A35DD" w:rsidP="007B61FD">
      <w:pPr>
        <w:rPr>
          <w:rFonts w:ascii="Tahoma" w:hAnsi="Tahoma" w:cs="Tahoma"/>
          <w:sz w:val="22"/>
          <w:szCs w:val="22"/>
        </w:rPr>
      </w:pPr>
      <w:bookmarkStart w:id="0" w:name="_GoBack"/>
      <w:bookmarkEnd w:id="0"/>
    </w:p>
    <w:p w:rsidR="000D38B3" w:rsidRPr="00781ED3" w:rsidRDefault="00781ED3" w:rsidP="007B61FD">
      <w:pPr>
        <w:rPr>
          <w:rFonts w:ascii="Tahoma" w:hAnsi="Tahoma" w:cs="Tahoma"/>
          <w:sz w:val="22"/>
          <w:szCs w:val="22"/>
        </w:rPr>
      </w:pPr>
      <w:proofErr w:type="spellStart"/>
      <w:r w:rsidRPr="00781ED3">
        <w:rPr>
          <w:rFonts w:ascii="Tahoma" w:hAnsi="Tahoma" w:cs="Tahoma"/>
          <w:sz w:val="22"/>
          <w:szCs w:val="22"/>
        </w:rPr>
        <w:t>Dodatne</w:t>
      </w:r>
      <w:proofErr w:type="spellEnd"/>
      <w:r w:rsidRPr="00781ED3">
        <w:rPr>
          <w:rFonts w:ascii="Tahoma" w:hAnsi="Tahoma" w:cs="Tahoma"/>
          <w:sz w:val="22"/>
          <w:szCs w:val="22"/>
        </w:rPr>
        <w:t xml:space="preserve"> </w:t>
      </w:r>
      <w:proofErr w:type="spellStart"/>
      <w:r w:rsidRPr="00781ED3">
        <w:rPr>
          <w:rFonts w:ascii="Tahoma" w:hAnsi="Tahoma" w:cs="Tahoma"/>
          <w:sz w:val="22"/>
          <w:szCs w:val="22"/>
        </w:rPr>
        <w:t>informacije</w:t>
      </w:r>
      <w:proofErr w:type="spellEnd"/>
      <w:r w:rsidRPr="00781ED3">
        <w:rPr>
          <w:rFonts w:ascii="Tahoma" w:hAnsi="Tahoma" w:cs="Tahoma"/>
          <w:sz w:val="22"/>
          <w:szCs w:val="22"/>
        </w:rPr>
        <w:t xml:space="preserve">: </w:t>
      </w:r>
      <w:proofErr w:type="spellStart"/>
      <w:r w:rsidRPr="00781ED3">
        <w:rPr>
          <w:rFonts w:ascii="Tahoma" w:hAnsi="Tahoma" w:cs="Tahoma"/>
          <w:sz w:val="22"/>
          <w:szCs w:val="22"/>
        </w:rPr>
        <w:t>Dušan</w:t>
      </w:r>
      <w:proofErr w:type="spellEnd"/>
      <w:r w:rsidRPr="00781ED3">
        <w:rPr>
          <w:rFonts w:ascii="Tahoma" w:hAnsi="Tahoma" w:cs="Tahoma"/>
          <w:sz w:val="22"/>
          <w:szCs w:val="22"/>
        </w:rPr>
        <w:t xml:space="preserve"> </w:t>
      </w:r>
      <w:proofErr w:type="spellStart"/>
      <w:r w:rsidRPr="00781ED3">
        <w:rPr>
          <w:rFonts w:ascii="Tahoma" w:hAnsi="Tahoma" w:cs="Tahoma"/>
          <w:sz w:val="22"/>
          <w:szCs w:val="22"/>
        </w:rPr>
        <w:t>Zupančič</w:t>
      </w:r>
      <w:proofErr w:type="spellEnd"/>
      <w:r w:rsidRPr="00781ED3">
        <w:rPr>
          <w:rFonts w:ascii="Tahoma" w:hAnsi="Tahoma" w:cs="Tahoma"/>
          <w:sz w:val="22"/>
          <w:szCs w:val="22"/>
        </w:rPr>
        <w:t xml:space="preserve">, </w:t>
      </w:r>
      <w:proofErr w:type="spellStart"/>
      <w:r w:rsidRPr="00781ED3">
        <w:rPr>
          <w:rFonts w:ascii="Tahoma" w:hAnsi="Tahoma" w:cs="Tahoma"/>
          <w:sz w:val="22"/>
          <w:szCs w:val="22"/>
        </w:rPr>
        <w:t>direktor</w:t>
      </w:r>
      <w:proofErr w:type="spellEnd"/>
      <w:r w:rsidRPr="00781ED3">
        <w:rPr>
          <w:rFonts w:ascii="Tahoma" w:hAnsi="Tahoma" w:cs="Tahoma"/>
          <w:sz w:val="22"/>
          <w:szCs w:val="22"/>
        </w:rPr>
        <w:t xml:space="preserve"> GZS-Združenje za informatiko in telekomunikacije, 01 5898 441, Dusan.zupancic@gzs.si </w:t>
      </w:r>
    </w:p>
    <w:sectPr w:rsidR="000D38B3" w:rsidRPr="00781ED3"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C3" w:rsidRDefault="003373C3">
      <w:r>
        <w:separator/>
      </w:r>
    </w:p>
  </w:endnote>
  <w:endnote w:type="continuationSeparator" w:id="0">
    <w:p w:rsidR="003373C3" w:rsidRDefault="0033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781ED3">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C3" w:rsidRDefault="003373C3">
      <w:r>
        <w:separator/>
      </w:r>
    </w:p>
  </w:footnote>
  <w:footnote w:type="continuationSeparator" w:id="0">
    <w:p w:rsidR="003373C3" w:rsidRDefault="003373C3">
      <w:r>
        <w:continuationSeparator/>
      </w:r>
    </w:p>
  </w:footnote>
  <w:footnote w:id="1">
    <w:p w:rsidR="003373C3" w:rsidRPr="00EE72EE" w:rsidRDefault="003373C3" w:rsidP="003373C3">
      <w:pPr>
        <w:pStyle w:val="Sprotnaopomba-besedilo"/>
        <w:rPr>
          <w:sz w:val="16"/>
          <w:szCs w:val="16"/>
          <w:lang w:val="sl-SI"/>
        </w:rPr>
      </w:pPr>
      <w:r w:rsidRPr="00EE72EE">
        <w:rPr>
          <w:rStyle w:val="Sprotnaopomba-sklic"/>
          <w:sz w:val="16"/>
          <w:szCs w:val="16"/>
        </w:rPr>
        <w:footnoteRef/>
      </w:r>
      <w:r w:rsidRPr="00EE72EE">
        <w:rPr>
          <w:sz w:val="16"/>
          <w:szCs w:val="16"/>
        </w:rPr>
        <w:t xml:space="preserve"> </w:t>
      </w:r>
      <w:r w:rsidRPr="00EE72EE">
        <w:rPr>
          <w:sz w:val="16"/>
          <w:szCs w:val="16"/>
          <w:lang w:val="sl-SI"/>
        </w:rPr>
        <w:t xml:space="preserve">Načrt razvoja širokopasovnih omrežij naslednje generacije do leta 2020, </w:t>
      </w:r>
      <w:hyperlink r:id="rId1" w:history="1">
        <w:r w:rsidRPr="00EE72EE">
          <w:rPr>
            <w:rStyle w:val="Hiperpovezava"/>
            <w:sz w:val="16"/>
            <w:szCs w:val="16"/>
            <w:lang w:val="sl-SI"/>
          </w:rPr>
          <w:t>http://www.mizs.gov.si/fileadmin/mizs.gov.si/pageuploads/Informacijska_druzba/pdf/DSi_Strategija_NGN_2020_20150306.pdf</w:t>
        </w:r>
      </w:hyperlink>
      <w:r>
        <w:rPr>
          <w:sz w:val="16"/>
          <w:szCs w:val="16"/>
          <w:lang w:val="sl-SI"/>
        </w:rPr>
        <w:t xml:space="preserve"> </w:t>
      </w:r>
    </w:p>
  </w:footnote>
  <w:footnote w:id="2">
    <w:p w:rsidR="003373C3" w:rsidRPr="00D71EFD" w:rsidRDefault="003373C3" w:rsidP="003373C3">
      <w:pPr>
        <w:pStyle w:val="Sprotnaopomba-besedilo"/>
        <w:jc w:val="both"/>
        <w:rPr>
          <w:rFonts w:cs="Arial"/>
          <w:sz w:val="16"/>
          <w:szCs w:val="16"/>
          <w:lang w:val="sl-SI"/>
        </w:rPr>
      </w:pPr>
      <w:r w:rsidRPr="00D71EFD">
        <w:rPr>
          <w:rStyle w:val="Sprotnaopomba-sklic"/>
          <w:rFonts w:cs="Arial"/>
          <w:sz w:val="16"/>
          <w:szCs w:val="16"/>
        </w:rPr>
        <w:footnoteRef/>
      </w:r>
      <w:r w:rsidRPr="00D71EFD">
        <w:rPr>
          <w:rFonts w:cs="Arial"/>
          <w:sz w:val="16"/>
          <w:szCs w:val="16"/>
        </w:rPr>
        <w:t xml:space="preserve"> </w:t>
      </w:r>
      <w:r w:rsidRPr="00D71EFD">
        <w:rPr>
          <w:rFonts w:cs="Arial"/>
          <w:sz w:val="16"/>
          <w:szCs w:val="16"/>
          <w:lang w:val="sl-SI"/>
        </w:rPr>
        <w:t xml:space="preserve">Vir: </w:t>
      </w:r>
      <w:hyperlink r:id="rId2" w:history="1">
        <w:r w:rsidRPr="00D71EFD">
          <w:rPr>
            <w:rStyle w:val="Hiperpovezava"/>
            <w:rFonts w:cs="Arial"/>
            <w:sz w:val="16"/>
            <w:szCs w:val="16"/>
            <w:lang w:val="sl-SI"/>
          </w:rPr>
          <w:t>http://www.stat.si/novica_prikazi.aspx?ID=6520</w:t>
        </w:r>
      </w:hyperlink>
      <w:r w:rsidRPr="00D71EFD">
        <w:rPr>
          <w:rFonts w:cs="Arial"/>
          <w:sz w:val="16"/>
          <w:szCs w:val="16"/>
          <w:lang w:val="sl-SI"/>
        </w:rPr>
        <w:t xml:space="preserve"> </w:t>
      </w:r>
    </w:p>
  </w:footnote>
  <w:footnote w:id="3">
    <w:p w:rsidR="003373C3" w:rsidRPr="00D71EFD" w:rsidRDefault="003373C3" w:rsidP="003373C3">
      <w:pPr>
        <w:pStyle w:val="Sprotnaopomba-besedilo"/>
        <w:jc w:val="both"/>
        <w:rPr>
          <w:sz w:val="16"/>
          <w:szCs w:val="16"/>
          <w:lang w:val="sl-SI"/>
        </w:rPr>
      </w:pPr>
      <w:r w:rsidRPr="00D71EFD">
        <w:rPr>
          <w:rStyle w:val="Sprotnaopomba-sklic"/>
          <w:sz w:val="16"/>
          <w:szCs w:val="16"/>
          <w:lang w:val="sl-SI"/>
        </w:rPr>
        <w:footnoteRef/>
      </w:r>
      <w:r w:rsidRPr="00D71EFD">
        <w:rPr>
          <w:sz w:val="16"/>
          <w:szCs w:val="16"/>
          <w:lang w:val="sl-SI"/>
        </w:rPr>
        <w:t xml:space="preserve"> </w:t>
      </w:r>
      <w:r w:rsidRPr="00D71EFD">
        <w:rPr>
          <w:sz w:val="16"/>
          <w:szCs w:val="16"/>
          <w:lang w:val="sl-SI"/>
        </w:rPr>
        <w:t>Bistveno povečanje investicij je nastalo zaradi enkratnega plačila za uporabo frekvenc pridobljenih na večfrekvenčni dražbi in povečanih investicij v mobilna omrežja</w:t>
      </w:r>
    </w:p>
  </w:footnote>
  <w:footnote w:id="4">
    <w:p w:rsidR="003373C3" w:rsidRPr="00D35E87" w:rsidRDefault="003373C3" w:rsidP="003373C3">
      <w:pPr>
        <w:pStyle w:val="Sprotnaopomba-besedilo"/>
        <w:rPr>
          <w:sz w:val="16"/>
          <w:szCs w:val="16"/>
          <w:lang w:val="sl-SI"/>
        </w:rPr>
      </w:pPr>
      <w:r w:rsidRPr="00D35E87">
        <w:rPr>
          <w:rStyle w:val="Sprotnaopomba-sklic"/>
          <w:sz w:val="16"/>
          <w:szCs w:val="16"/>
        </w:rPr>
        <w:footnoteRef/>
      </w:r>
      <w:r w:rsidRPr="00D35E87">
        <w:rPr>
          <w:sz w:val="16"/>
          <w:szCs w:val="16"/>
        </w:rPr>
        <w:t xml:space="preserve"> </w:t>
      </w:r>
      <w:r w:rsidRPr="00D35E87">
        <w:rPr>
          <w:sz w:val="16"/>
          <w:szCs w:val="16"/>
          <w:lang w:val="sl-SI"/>
        </w:rPr>
        <w:t xml:space="preserve">Vir: </w:t>
      </w:r>
      <w:hyperlink r:id="rId3" w:history="1">
        <w:r w:rsidRPr="00D35E87">
          <w:rPr>
            <w:rStyle w:val="Hiperpovezava"/>
            <w:sz w:val="16"/>
            <w:szCs w:val="16"/>
            <w:lang w:val="sl-SI"/>
          </w:rPr>
          <w:t>http://www.mizs.gov.si/fileadmin/mizs.gov.si/pageuploads/Informacijska_druzba/pdf/DSi_Strategija_ID_2020_20150306.pdf</w:t>
        </w:r>
      </w:hyperlink>
      <w:r w:rsidRPr="00D35E87">
        <w:rPr>
          <w:sz w:val="16"/>
          <w:szCs w:val="16"/>
          <w:lang w:val="sl-SI"/>
        </w:rPr>
        <w:t xml:space="preserve"> </w:t>
      </w:r>
    </w:p>
  </w:footnote>
  <w:footnote w:id="5">
    <w:p w:rsidR="003373C3" w:rsidRPr="00D35E87" w:rsidRDefault="003373C3" w:rsidP="003373C3">
      <w:pPr>
        <w:pStyle w:val="Sprotnaopomba-besedilo"/>
        <w:rPr>
          <w:sz w:val="16"/>
          <w:szCs w:val="16"/>
          <w:lang w:val="sl-SI"/>
        </w:rPr>
      </w:pPr>
      <w:r w:rsidRPr="00D35E87">
        <w:rPr>
          <w:rStyle w:val="Sprotnaopomba-sklic"/>
          <w:sz w:val="16"/>
          <w:szCs w:val="16"/>
        </w:rPr>
        <w:footnoteRef/>
      </w:r>
      <w:r w:rsidRPr="00D35E87">
        <w:rPr>
          <w:sz w:val="16"/>
          <w:szCs w:val="16"/>
        </w:rPr>
        <w:t xml:space="preserve"> </w:t>
      </w:r>
      <w:r w:rsidRPr="00D35E87">
        <w:rPr>
          <w:sz w:val="16"/>
          <w:szCs w:val="16"/>
          <w:lang w:val="sl-SI"/>
        </w:rPr>
        <w:t xml:space="preserve">Vir: </w:t>
      </w:r>
      <w:hyperlink r:id="rId4" w:history="1">
        <w:r w:rsidRPr="005F2A6B">
          <w:rPr>
            <w:rStyle w:val="Hiperpovezava"/>
            <w:sz w:val="16"/>
            <w:szCs w:val="16"/>
            <w:lang w:val="sl-SI"/>
          </w:rPr>
          <w:t>http://www.itu.int/en/ITU-R/conferences/wrc/2015/Pages/default.aspx</w:t>
        </w:r>
      </w:hyperlink>
      <w:r>
        <w:rPr>
          <w:sz w:val="16"/>
          <w:szCs w:val="16"/>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3373C3" w:rsidP="00FB2E56">
    <w:pPr>
      <w:ind w:left="-1134"/>
    </w:pPr>
    <w:r>
      <w:rPr>
        <w:noProof/>
        <w:lang w:val="sl-SI"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3373C3" w:rsidP="00FB2E56">
    <w:pPr>
      <w:ind w:left="-1134"/>
    </w:pPr>
    <w:r>
      <w:rPr>
        <w:noProof/>
        <w:lang w:val="sl-SI"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3373C3" w:rsidP="00BA0B8E">
    <w:pPr>
      <w:pBdr>
        <w:bottom w:val="single" w:sz="18" w:space="1" w:color="808080"/>
      </w:pBdr>
      <w:spacing w:line="240" w:lineRule="exact"/>
      <w:ind w:left="-1134" w:right="-1134"/>
      <w:rPr>
        <w:rFonts w:ascii="Verdana" w:hAnsi="Verdana" w:cs="Tahoma"/>
        <w:szCs w:val="14"/>
      </w:rPr>
    </w:pPr>
    <w:r>
      <w:rPr>
        <w:rFonts w:ascii="Verdana" w:hAnsi="Verdana" w:cs="Tahoma"/>
        <w:noProof/>
        <w:sz w:val="14"/>
        <w:szCs w:val="14"/>
      </w:rPr>
      <w:t>Združenje za informatiko in telekomunikacije</w:t>
    </w:r>
  </w:p>
  <w:p w:rsidR="005D1B41" w:rsidRPr="00BA0B8E" w:rsidRDefault="006A3917" w:rsidP="00BA0B8E">
    <w:pPr>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60FA3C"/>
    <w:lvl w:ilvl="0">
      <w:start w:val="1"/>
      <w:numFmt w:val="decimal"/>
      <w:lvlText w:val="%1."/>
      <w:lvlJc w:val="left"/>
      <w:pPr>
        <w:tabs>
          <w:tab w:val="num" w:pos="1492"/>
        </w:tabs>
        <w:ind w:left="1492" w:hanging="360"/>
      </w:pPr>
    </w:lvl>
  </w:abstractNum>
  <w:abstractNum w:abstractNumId="1">
    <w:nsid w:val="FFFFFF7D"/>
    <w:multiLevelType w:val="singleLevel"/>
    <w:tmpl w:val="64A21360"/>
    <w:lvl w:ilvl="0">
      <w:start w:val="1"/>
      <w:numFmt w:val="decimal"/>
      <w:lvlText w:val="%1."/>
      <w:lvlJc w:val="left"/>
      <w:pPr>
        <w:tabs>
          <w:tab w:val="num" w:pos="1209"/>
        </w:tabs>
        <w:ind w:left="1209" w:hanging="360"/>
      </w:pPr>
    </w:lvl>
  </w:abstractNum>
  <w:abstractNum w:abstractNumId="2">
    <w:nsid w:val="FFFFFF7E"/>
    <w:multiLevelType w:val="singleLevel"/>
    <w:tmpl w:val="4B067DD8"/>
    <w:lvl w:ilvl="0">
      <w:start w:val="1"/>
      <w:numFmt w:val="decimal"/>
      <w:lvlText w:val="%1."/>
      <w:lvlJc w:val="left"/>
      <w:pPr>
        <w:tabs>
          <w:tab w:val="num" w:pos="926"/>
        </w:tabs>
        <w:ind w:left="926" w:hanging="360"/>
      </w:pPr>
    </w:lvl>
  </w:abstractNum>
  <w:abstractNum w:abstractNumId="3">
    <w:nsid w:val="FFFFFF7F"/>
    <w:multiLevelType w:val="singleLevel"/>
    <w:tmpl w:val="09F69B0A"/>
    <w:lvl w:ilvl="0">
      <w:start w:val="1"/>
      <w:numFmt w:val="decimal"/>
      <w:lvlText w:val="%1."/>
      <w:lvlJc w:val="left"/>
      <w:pPr>
        <w:tabs>
          <w:tab w:val="num" w:pos="643"/>
        </w:tabs>
        <w:ind w:left="643" w:hanging="360"/>
      </w:p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nsid w:val="41977E35"/>
    <w:multiLevelType w:val="hybridMultilevel"/>
    <w:tmpl w:val="A680F4CA"/>
    <w:lvl w:ilvl="0" w:tplc="374CD06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F243E"/>
    <w:multiLevelType w:val="hybridMultilevel"/>
    <w:tmpl w:val="539618FC"/>
    <w:lvl w:ilvl="0" w:tplc="374CD06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C3"/>
    <w:rsid w:val="00055CD1"/>
    <w:rsid w:val="0007160A"/>
    <w:rsid w:val="00097B6D"/>
    <w:rsid w:val="000A0BAF"/>
    <w:rsid w:val="000A246B"/>
    <w:rsid w:val="000D38B3"/>
    <w:rsid w:val="000F3141"/>
    <w:rsid w:val="0013261C"/>
    <w:rsid w:val="00185CFD"/>
    <w:rsid w:val="0018741A"/>
    <w:rsid w:val="00192907"/>
    <w:rsid w:val="001A35DD"/>
    <w:rsid w:val="001C5AC0"/>
    <w:rsid w:val="001F7280"/>
    <w:rsid w:val="00201797"/>
    <w:rsid w:val="00204C95"/>
    <w:rsid w:val="00224F01"/>
    <w:rsid w:val="00227F31"/>
    <w:rsid w:val="00244150"/>
    <w:rsid w:val="002C0749"/>
    <w:rsid w:val="00314279"/>
    <w:rsid w:val="0033192E"/>
    <w:rsid w:val="003373C3"/>
    <w:rsid w:val="003B1696"/>
    <w:rsid w:val="003E5854"/>
    <w:rsid w:val="004111B7"/>
    <w:rsid w:val="004255B7"/>
    <w:rsid w:val="00437E61"/>
    <w:rsid w:val="004A0F96"/>
    <w:rsid w:val="004A57F7"/>
    <w:rsid w:val="004F6664"/>
    <w:rsid w:val="004F761C"/>
    <w:rsid w:val="005178F2"/>
    <w:rsid w:val="00520E58"/>
    <w:rsid w:val="00536912"/>
    <w:rsid w:val="005A3532"/>
    <w:rsid w:val="005B66F1"/>
    <w:rsid w:val="005D1B41"/>
    <w:rsid w:val="006108D0"/>
    <w:rsid w:val="00624880"/>
    <w:rsid w:val="0063341C"/>
    <w:rsid w:val="006450F3"/>
    <w:rsid w:val="00672FCF"/>
    <w:rsid w:val="00680D75"/>
    <w:rsid w:val="006A3917"/>
    <w:rsid w:val="006C7402"/>
    <w:rsid w:val="00746B4D"/>
    <w:rsid w:val="0076391F"/>
    <w:rsid w:val="00766C0D"/>
    <w:rsid w:val="00771649"/>
    <w:rsid w:val="00781ED3"/>
    <w:rsid w:val="007B61FD"/>
    <w:rsid w:val="007D1D81"/>
    <w:rsid w:val="007D5DC8"/>
    <w:rsid w:val="0083426B"/>
    <w:rsid w:val="00841730"/>
    <w:rsid w:val="008559C1"/>
    <w:rsid w:val="008566C4"/>
    <w:rsid w:val="0086124A"/>
    <w:rsid w:val="00861592"/>
    <w:rsid w:val="008639B9"/>
    <w:rsid w:val="008744E3"/>
    <w:rsid w:val="008A044C"/>
    <w:rsid w:val="008B0022"/>
    <w:rsid w:val="008F2F55"/>
    <w:rsid w:val="008F7314"/>
    <w:rsid w:val="00957A8D"/>
    <w:rsid w:val="009640CD"/>
    <w:rsid w:val="00971634"/>
    <w:rsid w:val="009930D4"/>
    <w:rsid w:val="009B680B"/>
    <w:rsid w:val="009D5DCF"/>
    <w:rsid w:val="009E6024"/>
    <w:rsid w:val="009E6927"/>
    <w:rsid w:val="00A05DFA"/>
    <w:rsid w:val="00A1379C"/>
    <w:rsid w:val="00A2403F"/>
    <w:rsid w:val="00A433F3"/>
    <w:rsid w:val="00A535B6"/>
    <w:rsid w:val="00B00E73"/>
    <w:rsid w:val="00B03A4C"/>
    <w:rsid w:val="00B22BAF"/>
    <w:rsid w:val="00B32139"/>
    <w:rsid w:val="00BA0B8E"/>
    <w:rsid w:val="00BE1FC1"/>
    <w:rsid w:val="00C44BB7"/>
    <w:rsid w:val="00CD68AC"/>
    <w:rsid w:val="00D3073E"/>
    <w:rsid w:val="00D841CD"/>
    <w:rsid w:val="00DF5A7C"/>
    <w:rsid w:val="00E05475"/>
    <w:rsid w:val="00E2042A"/>
    <w:rsid w:val="00E22E83"/>
    <w:rsid w:val="00E70E99"/>
    <w:rsid w:val="00EA14D6"/>
    <w:rsid w:val="00EB5192"/>
    <w:rsid w:val="00EC17B3"/>
    <w:rsid w:val="00F67164"/>
    <w:rsid w:val="00F8155D"/>
    <w:rsid w:val="00F837A2"/>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055E16-F8B0-4E87-AA8B-3C27B439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73C3"/>
    <w:rPr>
      <w:rFonts w:ascii="Cambria" w:eastAsia="MS Mincho" w:hAnsi="Cambria"/>
      <w:sz w:val="24"/>
      <w:szCs w:val="24"/>
      <w:lang w:val="en-US" w:eastAsia="en-US"/>
    </w:rPr>
  </w:style>
  <w:style w:type="paragraph" w:styleId="Naslov1">
    <w:name w:val="heading 1"/>
    <w:basedOn w:val="Navaden"/>
    <w:next w:val="Navaden"/>
    <w:qFormat/>
    <w:rsid w:val="004255B7"/>
    <w:pPr>
      <w:keepNext/>
      <w:keepLines/>
      <w:spacing w:before="240"/>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rsid w:val="004255B7"/>
    <w:pPr>
      <w:keepNext/>
      <w:keepLines/>
      <w:spacing w:before="480"/>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paragraph" w:styleId="Odstavekseznama">
    <w:name w:val="List Paragraph"/>
    <w:basedOn w:val="Navaden"/>
    <w:uiPriority w:val="34"/>
    <w:qFormat/>
    <w:rsid w:val="003373C3"/>
    <w:pPr>
      <w:ind w:left="720"/>
      <w:contextualSpacing/>
    </w:pPr>
  </w:style>
  <w:style w:type="paragraph" w:styleId="Sprotnaopomba-besedilo">
    <w:name w:val="footnote text"/>
    <w:basedOn w:val="Navaden"/>
    <w:link w:val="Sprotnaopomba-besediloZnak"/>
    <w:uiPriority w:val="99"/>
    <w:unhideWhenUsed/>
    <w:rsid w:val="003373C3"/>
  </w:style>
  <w:style w:type="character" w:customStyle="1" w:styleId="Sprotnaopomba-besediloZnak">
    <w:name w:val="Sprotna opomba - besedilo Znak"/>
    <w:basedOn w:val="Privzetapisavaodstavka"/>
    <w:link w:val="Sprotnaopomba-besedilo"/>
    <w:uiPriority w:val="99"/>
    <w:rsid w:val="003373C3"/>
    <w:rPr>
      <w:rFonts w:ascii="Cambria" w:eastAsia="MS Mincho" w:hAnsi="Cambria"/>
      <w:sz w:val="24"/>
      <w:szCs w:val="24"/>
      <w:lang w:val="en-US" w:eastAsia="en-US"/>
    </w:rPr>
  </w:style>
  <w:style w:type="character" w:styleId="Sprotnaopomba-sklic">
    <w:name w:val="footnote reference"/>
    <w:uiPriority w:val="99"/>
    <w:unhideWhenUsed/>
    <w:rsid w:val="003373C3"/>
    <w:rPr>
      <w:vertAlign w:val="superscript"/>
    </w:rPr>
  </w:style>
  <w:style w:type="character" w:styleId="Hiperpovezava">
    <w:name w:val="Hyperlink"/>
    <w:uiPriority w:val="99"/>
    <w:unhideWhenUsed/>
    <w:rsid w:val="00337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izs.gov.si/fileadmin/mizs.gov.si/pageuploads/Informacijska_druzba/pdf/DSi_Strategija_ID_2020_20150306.pdf" TargetMode="External"/><Relationship Id="rId2" Type="http://schemas.openxmlformats.org/officeDocument/2006/relationships/hyperlink" Target="http://www.stat.si/novica_prikazi.aspx?ID=6520" TargetMode="External"/><Relationship Id="rId1" Type="http://schemas.openxmlformats.org/officeDocument/2006/relationships/hyperlink" Target="http://www.mizs.gov.si/fileadmin/mizs.gov.si/pageuploads/Informacijska_druzba/pdf/DSi_Strategija_NGN_2020_20150306.pdf" TargetMode="External"/><Relationship Id="rId4" Type="http://schemas.openxmlformats.org/officeDocument/2006/relationships/hyperlink" Target="http://www.itu.int/en/ITU-R/conferences/wrc/2015/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22</TotalTime>
  <Pages>3</Pages>
  <Words>1163</Words>
  <Characters>7341</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4</cp:revision>
  <cp:lastPrinted>1601-01-01T00:00:00Z</cp:lastPrinted>
  <dcterms:created xsi:type="dcterms:W3CDTF">2015-04-09T12:48:00Z</dcterms:created>
  <dcterms:modified xsi:type="dcterms:W3CDTF">2015-04-09T13:10:00Z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