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3F" w:rsidRPr="002354DE" w:rsidRDefault="00B0385E" w:rsidP="00AE2724">
      <w:pPr>
        <w:jc w:val="both"/>
        <w:rPr>
          <w:rFonts w:cs="Tahoma"/>
        </w:rPr>
      </w:pPr>
      <w:r>
        <w:rPr>
          <w:rFonts w:cs="Tahoma"/>
          <w:noProof/>
        </w:rPr>
        <w:drawing>
          <wp:anchor distT="0" distB="0" distL="114300" distR="114300" simplePos="0" relativeHeight="251659264" behindDoc="0" locked="0" layoutInCell="1" allowOverlap="1" wp14:anchorId="5D9109AB" wp14:editId="202CC52E">
            <wp:simplePos x="0" y="0"/>
            <wp:positionH relativeFrom="column">
              <wp:posOffset>4381500</wp:posOffset>
            </wp:positionH>
            <wp:positionV relativeFrom="paragraph">
              <wp:posOffset>10160</wp:posOffset>
            </wp:positionV>
            <wp:extent cx="2025992" cy="711835"/>
            <wp:effectExtent l="0" t="0" r="0" b="0"/>
            <wp:wrapNone/>
            <wp:docPr id="2" name="Slika 2" descr="C:\Users\Primož\AppData\Local\Microsoft\Windows\INetCache\Content.Word\kome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imož\AppData\Local\Microsoft\Windows\INetCache\Content.Word\komenta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92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051" w:rsidRPr="009F3051">
        <w:rPr>
          <w:rFonts w:cs="Tahoma"/>
          <w:noProof/>
        </w:rPr>
        <w:drawing>
          <wp:inline distT="0" distB="0" distL="0" distR="0" wp14:anchorId="70954A4D" wp14:editId="2A506EF3">
            <wp:extent cx="855876" cy="499892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7257" cy="51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33F" w:rsidRDefault="00A0633F" w:rsidP="00AE2724">
      <w:pPr>
        <w:jc w:val="both"/>
        <w:rPr>
          <w:rFonts w:cs="Tahoma"/>
        </w:rPr>
      </w:pPr>
    </w:p>
    <w:p w:rsidR="001722D4" w:rsidRDefault="00C434EB" w:rsidP="00AE2724">
      <w:pPr>
        <w:jc w:val="both"/>
        <w:rPr>
          <w:rFonts w:cs="Tahoma"/>
          <w:b/>
          <w:color w:val="5C141F"/>
          <w:sz w:val="36"/>
          <w:szCs w:val="36"/>
        </w:rPr>
      </w:pPr>
      <w:r>
        <w:rPr>
          <w:rFonts w:cs="Tahoma"/>
          <w:b/>
          <w:color w:val="5C141F"/>
          <w:sz w:val="36"/>
          <w:szCs w:val="36"/>
        </w:rPr>
        <w:t xml:space="preserve">Zakaj je predlog davčnega </w:t>
      </w:r>
      <w:r w:rsidR="00433C8D">
        <w:rPr>
          <w:rFonts w:cs="Tahoma"/>
          <w:b/>
          <w:color w:val="5C141F"/>
          <w:sz w:val="36"/>
          <w:szCs w:val="36"/>
        </w:rPr>
        <w:t>prestrukturiranja slab?</w:t>
      </w:r>
    </w:p>
    <w:p w:rsidR="0037077C" w:rsidRPr="00707017" w:rsidRDefault="001722D4" w:rsidP="00AE2724">
      <w:pPr>
        <w:jc w:val="both"/>
        <w:rPr>
          <w:sz w:val="16"/>
          <w:szCs w:val="16"/>
        </w:rPr>
      </w:pPr>
      <w:r>
        <w:rPr>
          <w:sz w:val="16"/>
          <w:szCs w:val="16"/>
        </w:rPr>
        <w:t>22.4</w:t>
      </w:r>
      <w:r w:rsidR="00F56533">
        <w:rPr>
          <w:sz w:val="16"/>
          <w:szCs w:val="16"/>
        </w:rPr>
        <w:t>.</w:t>
      </w:r>
      <w:r w:rsidR="0037077C" w:rsidRPr="00707017">
        <w:rPr>
          <w:sz w:val="16"/>
          <w:szCs w:val="16"/>
        </w:rPr>
        <w:t>201</w:t>
      </w:r>
      <w:r w:rsidR="0037077C">
        <w:rPr>
          <w:sz w:val="16"/>
          <w:szCs w:val="16"/>
        </w:rPr>
        <w:t>6</w:t>
      </w:r>
    </w:p>
    <w:p w:rsidR="00433C8D" w:rsidRPr="001A11C0" w:rsidRDefault="009D0702" w:rsidP="001A11C0">
      <w:pPr>
        <w:shd w:val="clear" w:color="auto" w:fill="F2DBDB" w:themeFill="accent2" w:themeFillTint="33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Šest</w:t>
      </w:r>
      <w:r w:rsidR="00433C8D">
        <w:rPr>
          <w:b/>
          <w:i/>
          <w:color w:val="000000"/>
          <w:sz w:val="22"/>
        </w:rPr>
        <w:t xml:space="preserve"> ključnih razlogov, ki govorijo v prid upravičenim</w:t>
      </w:r>
      <w:r w:rsidR="002D2725">
        <w:rPr>
          <w:b/>
          <w:i/>
          <w:color w:val="000000"/>
          <w:sz w:val="22"/>
        </w:rPr>
        <w:t xml:space="preserve"> zahtevam, da je treba predlog M</w:t>
      </w:r>
      <w:r w:rsidR="00433C8D">
        <w:rPr>
          <w:b/>
          <w:i/>
          <w:color w:val="000000"/>
          <w:sz w:val="22"/>
        </w:rPr>
        <w:t>inistrstva za finance o davčnem prestrukturiranju bistveno spremeniti in dopolniti</w:t>
      </w:r>
      <w:r w:rsidR="00004F74" w:rsidRPr="001C6A39">
        <w:rPr>
          <w:b/>
          <w:i/>
          <w:color w:val="000000"/>
          <w:sz w:val="22"/>
        </w:rPr>
        <w:t>.</w:t>
      </w:r>
      <w:r w:rsidR="00004F74" w:rsidRPr="00BB6B83">
        <w:rPr>
          <w:b/>
          <w:i/>
          <w:color w:val="000000"/>
          <w:sz w:val="22"/>
          <w:highlight w:val="yellow"/>
        </w:rPr>
        <w:t xml:space="preserve"> </w:t>
      </w:r>
    </w:p>
    <w:p w:rsidR="00F21AA1" w:rsidRPr="00433C8D" w:rsidRDefault="00F21AA1" w:rsidP="001722D4">
      <w:pPr>
        <w:rPr>
          <w:rFonts w:cs="Tahoma"/>
          <w:sz w:val="22"/>
          <w:szCs w:val="22"/>
        </w:rPr>
      </w:pPr>
      <w:r w:rsidRPr="00433C8D">
        <w:rPr>
          <w:rFonts w:cs="Tahoma"/>
          <w:sz w:val="22"/>
          <w:szCs w:val="22"/>
        </w:rPr>
        <w:t>Predlog davčnega p</w:t>
      </w:r>
      <w:r w:rsidR="002D2725">
        <w:rPr>
          <w:rFonts w:cs="Tahoma"/>
          <w:sz w:val="22"/>
          <w:szCs w:val="22"/>
        </w:rPr>
        <w:t>restrukturiranja, ki ga ponuja M</w:t>
      </w:r>
      <w:r w:rsidRPr="00433C8D">
        <w:rPr>
          <w:rFonts w:cs="Tahoma"/>
          <w:sz w:val="22"/>
          <w:szCs w:val="22"/>
        </w:rPr>
        <w:t>inistrstvo za finance, ima kar nekaj negativnih učinkov. Objavljamo razloge, zakaj ga je treba bistveno spremeniti oziroma dopolniti:</w:t>
      </w:r>
    </w:p>
    <w:p w:rsidR="009D0702" w:rsidRDefault="00F21AA1" w:rsidP="00F21AA1">
      <w:pPr>
        <w:pStyle w:val="Odstavekseznama"/>
        <w:numPr>
          <w:ilvl w:val="0"/>
          <w:numId w:val="7"/>
        </w:numPr>
        <w:spacing w:line="259" w:lineRule="auto"/>
        <w:rPr>
          <w:rFonts w:ascii="Tahoma" w:hAnsi="Tahoma" w:cs="Tahoma"/>
          <w:b/>
          <w:bCs/>
          <w:iCs/>
          <w:color w:val="333333"/>
          <w:bdr w:val="none" w:sz="0" w:space="0" w:color="auto" w:frame="1"/>
          <w:shd w:val="clear" w:color="auto" w:fill="FFFFFF"/>
        </w:rPr>
      </w:pPr>
      <w:r w:rsidRPr="00433C8D">
        <w:rPr>
          <w:rFonts w:ascii="Tahoma" w:hAnsi="Tahoma" w:cs="Tahoma"/>
          <w:b/>
          <w:bCs/>
          <w:iCs/>
          <w:color w:val="333333"/>
          <w:bdr w:val="none" w:sz="0" w:space="0" w:color="auto" w:frame="1"/>
          <w:shd w:val="clear" w:color="auto" w:fill="FFFFFF"/>
        </w:rPr>
        <w:t>Dodatno breme za podjetj</w:t>
      </w:r>
      <w:r w:rsidR="00C434EB" w:rsidRPr="00433C8D">
        <w:rPr>
          <w:rFonts w:ascii="Tahoma" w:hAnsi="Tahoma" w:cs="Tahoma"/>
          <w:b/>
          <w:bCs/>
          <w:iCs/>
          <w:color w:val="333333"/>
          <w:bdr w:val="none" w:sz="0" w:space="0" w:color="auto" w:frame="1"/>
          <w:shd w:val="clear" w:color="auto" w:fill="FFFFFF"/>
        </w:rPr>
        <w:t>a.</w:t>
      </w:r>
    </w:p>
    <w:p w:rsidR="009D0702" w:rsidRPr="009D0702" w:rsidRDefault="009D0702" w:rsidP="009D0702">
      <w:pPr>
        <w:pStyle w:val="Odstavekseznama"/>
        <w:spacing w:line="259" w:lineRule="auto"/>
        <w:rPr>
          <w:rStyle w:val="apple-converted-space"/>
          <w:rFonts w:ascii="Tahoma" w:hAnsi="Tahoma" w:cs="Tahoma"/>
          <w:color w:val="333333"/>
          <w:shd w:val="clear" w:color="auto" w:fill="FFFFFF"/>
        </w:rPr>
      </w:pPr>
      <w:r w:rsidRPr="00433C8D">
        <w:rPr>
          <w:rFonts w:ascii="Tahoma" w:hAnsi="Tahoma" w:cs="Tahoma"/>
          <w:bCs/>
          <w:iCs/>
          <w:color w:val="333333"/>
          <w:bdr w:val="none" w:sz="0" w:space="0" w:color="auto" w:frame="1"/>
          <w:shd w:val="clear" w:color="auto" w:fill="FFFFFF"/>
        </w:rPr>
        <w:t xml:space="preserve">Zvišanje stopnje </w:t>
      </w:r>
      <w:r w:rsidRPr="009D0702">
        <w:rPr>
          <w:rFonts w:ascii="Tahoma" w:hAnsi="Tahoma" w:cs="Tahoma"/>
          <w:bCs/>
          <w:iCs/>
          <w:color w:val="333333"/>
          <w:bdr w:val="none" w:sz="0" w:space="0" w:color="auto" w:frame="1"/>
          <w:shd w:val="clear" w:color="auto" w:fill="FFFFFF"/>
        </w:rPr>
        <w:t>davka od dohodkov pravnih</w:t>
      </w:r>
      <w:r w:rsidRPr="00433C8D">
        <w:rPr>
          <w:rFonts w:ascii="Tahoma" w:hAnsi="Tahoma" w:cs="Tahoma"/>
          <w:bCs/>
          <w:iCs/>
          <w:color w:val="333333"/>
          <w:bdr w:val="none" w:sz="0" w:space="0" w:color="auto" w:frame="1"/>
          <w:shd w:val="clear" w:color="auto" w:fill="FFFFFF"/>
        </w:rPr>
        <w:t xml:space="preserve"> oseb za 3 o.t. (iz 17 % na 20 %) </w:t>
      </w:r>
      <w:r w:rsidRPr="00433C8D">
        <w:rPr>
          <w:rFonts w:ascii="Tahoma" w:hAnsi="Tahoma" w:cs="Tahoma"/>
          <w:color w:val="333333"/>
          <w:shd w:val="clear" w:color="auto" w:fill="FFFFFF"/>
        </w:rPr>
        <w:t xml:space="preserve">ne </w:t>
      </w:r>
      <w:r w:rsidRPr="009D0702">
        <w:rPr>
          <w:rFonts w:ascii="Tahoma" w:hAnsi="Tahoma" w:cs="Tahoma"/>
          <w:color w:val="333333"/>
          <w:shd w:val="clear" w:color="auto" w:fill="FFFFFF"/>
        </w:rPr>
        <w:t>razbremenjuje gospodarstva, temveč ga celo dodatno obremenjuje, za 100 milijonov evrov.</w:t>
      </w:r>
      <w:r w:rsidRPr="009D0702">
        <w:rPr>
          <w:rStyle w:val="apple-converted-space"/>
          <w:rFonts w:ascii="Tahoma" w:hAnsi="Tahoma" w:cs="Tahoma"/>
          <w:color w:val="333333"/>
          <w:shd w:val="clear" w:color="auto" w:fill="FFFFFF"/>
        </w:rPr>
        <w:t> </w:t>
      </w:r>
    </w:p>
    <w:p w:rsidR="009D0702" w:rsidRPr="009D0702" w:rsidRDefault="009D0702" w:rsidP="009D0702">
      <w:pPr>
        <w:pStyle w:val="Odstavekseznama"/>
        <w:numPr>
          <w:ilvl w:val="0"/>
          <w:numId w:val="7"/>
        </w:numPr>
        <w:spacing w:line="259" w:lineRule="auto"/>
        <w:rPr>
          <w:rStyle w:val="apple-converted-space"/>
          <w:rFonts w:ascii="Tahoma" w:hAnsi="Tahoma" w:cs="Tahoma"/>
          <w:b/>
          <w:bCs/>
          <w:iCs/>
          <w:color w:val="333333"/>
          <w:bdr w:val="none" w:sz="0" w:space="0" w:color="auto" w:frame="1"/>
          <w:shd w:val="clear" w:color="auto" w:fill="FFFFFF"/>
        </w:rPr>
      </w:pPr>
      <w:r w:rsidRPr="009D0702">
        <w:rPr>
          <w:rStyle w:val="apple-converted-space"/>
          <w:rFonts w:ascii="Tahoma" w:hAnsi="Tahoma" w:cs="Tahoma"/>
          <w:b/>
          <w:color w:val="333333"/>
          <w:shd w:val="clear" w:color="auto" w:fill="FFFFFF"/>
        </w:rPr>
        <w:t>Ni razbremenitve za podjetja.</w:t>
      </w:r>
    </w:p>
    <w:p w:rsidR="009D0702" w:rsidRPr="009D0702" w:rsidRDefault="009D0702" w:rsidP="009D0702">
      <w:pPr>
        <w:pStyle w:val="Odstavekseznama"/>
        <w:spacing w:line="259" w:lineRule="auto"/>
        <w:rPr>
          <w:rStyle w:val="apple-converted-space"/>
          <w:rFonts w:ascii="Tahoma" w:hAnsi="Tahoma" w:cs="Tahoma"/>
          <w:bCs/>
          <w:iCs/>
          <w:color w:val="333333"/>
          <w:bdr w:val="none" w:sz="0" w:space="0" w:color="auto" w:frame="1"/>
          <w:shd w:val="clear" w:color="auto" w:fill="FFFFFF"/>
        </w:rPr>
      </w:pPr>
      <w:r w:rsidRPr="009D0702">
        <w:rPr>
          <w:rFonts w:ascii="Tahoma" w:hAnsi="Tahoma" w:cs="Tahoma"/>
        </w:rPr>
        <w:t xml:space="preserve">Ministrstvo za finance </w:t>
      </w:r>
      <w:r>
        <w:rPr>
          <w:rFonts w:ascii="Tahoma" w:hAnsi="Tahoma" w:cs="Tahoma"/>
        </w:rPr>
        <w:t xml:space="preserve">resda </w:t>
      </w:r>
      <w:r w:rsidRPr="009D0702">
        <w:rPr>
          <w:rFonts w:ascii="Tahoma" w:hAnsi="Tahoma" w:cs="Tahoma"/>
        </w:rPr>
        <w:t xml:space="preserve">predlaga nekaj ukrepov za razbremenitev dela (spremembo dohodninske lestvice, ugodnejšo davčno obravnavo dela plače za poslovno uspešnost in ugodnejšo davčno obravnavo delitve dobička). </w:t>
      </w:r>
      <w:r>
        <w:rPr>
          <w:rStyle w:val="apple-converted-space"/>
          <w:rFonts w:ascii="Tahoma" w:hAnsi="Tahoma" w:cs="Tahoma"/>
          <w:color w:val="333333"/>
          <w:shd w:val="clear" w:color="auto" w:fill="FFFFFF"/>
        </w:rPr>
        <w:t>R</w:t>
      </w:r>
      <w:r w:rsidRPr="009D0702">
        <w:rPr>
          <w:rStyle w:val="apple-converted-space"/>
          <w:rFonts w:ascii="Tahoma" w:hAnsi="Tahoma" w:cs="Tahoma"/>
          <w:color w:val="333333"/>
          <w:shd w:val="clear" w:color="auto" w:fill="FFFFFF"/>
        </w:rPr>
        <w:t xml:space="preserve">azbremenitev plač razbremenjuje zaposlene, </w:t>
      </w:r>
      <w:r>
        <w:rPr>
          <w:rStyle w:val="apple-converted-space"/>
          <w:rFonts w:ascii="Tahoma" w:hAnsi="Tahoma" w:cs="Tahoma"/>
          <w:color w:val="333333"/>
          <w:shd w:val="clear" w:color="auto" w:fill="FFFFFF"/>
        </w:rPr>
        <w:t>kar je pozitivno, ne pa tudi podjetij</w:t>
      </w:r>
      <w:r w:rsidRPr="009D0702">
        <w:rPr>
          <w:rStyle w:val="apple-converted-space"/>
          <w:rFonts w:ascii="Tahoma" w:hAnsi="Tahoma" w:cs="Tahoma"/>
          <w:color w:val="333333"/>
          <w:shd w:val="clear" w:color="auto" w:fill="FFFFFF"/>
        </w:rPr>
        <w:t>.</w:t>
      </w:r>
    </w:p>
    <w:p w:rsidR="009D0702" w:rsidRPr="00433C8D" w:rsidRDefault="009D0702" w:rsidP="009D0702">
      <w:pPr>
        <w:pStyle w:val="Odstavekseznama"/>
        <w:numPr>
          <w:ilvl w:val="0"/>
          <w:numId w:val="7"/>
        </w:numPr>
        <w:spacing w:line="259" w:lineRule="auto"/>
        <w:rPr>
          <w:rFonts w:ascii="Tahoma" w:hAnsi="Tahoma" w:cs="Tahoma"/>
          <w:b/>
          <w:bCs/>
          <w:iCs/>
          <w:color w:val="333333"/>
          <w:bdr w:val="none" w:sz="0" w:space="0" w:color="auto" w:frame="1"/>
          <w:shd w:val="clear" w:color="auto" w:fill="FFFFFF"/>
        </w:rPr>
      </w:pPr>
      <w:r w:rsidRPr="00433C8D">
        <w:rPr>
          <w:rFonts w:ascii="Tahoma" w:hAnsi="Tahoma" w:cs="Tahoma"/>
          <w:b/>
          <w:color w:val="333333"/>
          <w:shd w:val="clear" w:color="auto" w:fill="FFFFFF"/>
        </w:rPr>
        <w:t>Le dobrih 100.000 zaposlenih z višjo plačo.</w:t>
      </w:r>
    </w:p>
    <w:p w:rsidR="009D0702" w:rsidRPr="00433C8D" w:rsidRDefault="009D0702" w:rsidP="009D0702">
      <w:pPr>
        <w:pStyle w:val="Odstavekseznama"/>
        <w:spacing w:line="259" w:lineRule="auto"/>
        <w:rPr>
          <w:rFonts w:ascii="Tahoma" w:hAnsi="Tahoma" w:cs="Tahoma"/>
          <w:b/>
          <w:bCs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Predlog M</w:t>
      </w:r>
      <w:r w:rsidRPr="00433C8D">
        <w:rPr>
          <w:rFonts w:ascii="Tahoma" w:hAnsi="Tahoma" w:cs="Tahoma"/>
          <w:color w:val="333333"/>
          <w:shd w:val="clear" w:color="auto" w:fill="FFFFFF"/>
        </w:rPr>
        <w:t xml:space="preserve">inistrstva za finance predvideva, da bo zaradi davčnih sprememb le dobrih 100.000 zaposlenih imelo višjo neto plačo. Predlog GZS in Zbornice davčnih svetovalcev Slovenije (ZDSS) bi razbremenil plače 570.000 zaposlenim v zasebnem in javnem sektorju. </w:t>
      </w:r>
    </w:p>
    <w:p w:rsidR="00C434EB" w:rsidRPr="009D0702" w:rsidRDefault="00C434EB" w:rsidP="00F21AA1">
      <w:pPr>
        <w:pStyle w:val="Odstavekseznama"/>
        <w:numPr>
          <w:ilvl w:val="0"/>
          <w:numId w:val="7"/>
        </w:numPr>
        <w:spacing w:line="259" w:lineRule="auto"/>
        <w:rPr>
          <w:rFonts w:ascii="Tahoma" w:hAnsi="Tahoma" w:cs="Tahoma"/>
          <w:b/>
          <w:bCs/>
          <w:iCs/>
          <w:color w:val="333333"/>
          <w:bdr w:val="none" w:sz="0" w:space="0" w:color="auto" w:frame="1"/>
          <w:shd w:val="clear" w:color="auto" w:fill="FFFFFF"/>
        </w:rPr>
      </w:pPr>
      <w:r w:rsidRPr="009D0702">
        <w:rPr>
          <w:rFonts w:ascii="Tahoma" w:hAnsi="Tahoma" w:cs="Tahoma"/>
          <w:b/>
          <w:bCs/>
          <w:iCs/>
          <w:color w:val="333333"/>
          <w:bdr w:val="none" w:sz="0" w:space="0" w:color="auto" w:frame="1"/>
          <w:shd w:val="clear" w:color="auto" w:fill="FFFFFF"/>
        </w:rPr>
        <w:t xml:space="preserve">Togost pri javni porabi. </w:t>
      </w:r>
    </w:p>
    <w:p w:rsidR="00F21AA1" w:rsidRPr="00433C8D" w:rsidRDefault="00F21AA1" w:rsidP="00C434EB">
      <w:pPr>
        <w:pStyle w:val="Odstavekseznama"/>
        <w:spacing w:line="259" w:lineRule="auto"/>
        <w:rPr>
          <w:rFonts w:ascii="Tahoma" w:hAnsi="Tahoma" w:cs="Tahoma"/>
          <w:bCs/>
          <w:iCs/>
          <w:color w:val="333333"/>
          <w:bdr w:val="none" w:sz="0" w:space="0" w:color="auto" w:frame="1"/>
          <w:shd w:val="clear" w:color="auto" w:fill="FFFFFF"/>
        </w:rPr>
      </w:pPr>
      <w:r w:rsidRPr="009D0702">
        <w:rPr>
          <w:rFonts w:ascii="Tahoma" w:hAnsi="Tahoma" w:cs="Tahoma"/>
          <w:bCs/>
          <w:iCs/>
          <w:color w:val="333333"/>
          <w:bdr w:val="none" w:sz="0" w:space="0" w:color="auto" w:frame="1"/>
          <w:shd w:val="clear" w:color="auto" w:fill="FFFFFF"/>
        </w:rPr>
        <w:t>Ob davčni reformi ni napovedanega nikakršnega znižanja javne porabe, čeprav edino ta lahko omogoči resno davčno reformo. Za primerjavo: prihranek pri javni porabi v višini 100 milijonov</w:t>
      </w:r>
      <w:r w:rsidRPr="00433C8D">
        <w:rPr>
          <w:rFonts w:ascii="Tahoma" w:hAnsi="Tahoma" w:cs="Tahoma"/>
          <w:bCs/>
          <w:iCs/>
          <w:color w:val="333333"/>
          <w:bdr w:val="none" w:sz="0" w:space="0" w:color="auto" w:frame="1"/>
          <w:shd w:val="clear" w:color="auto" w:fill="FFFFFF"/>
        </w:rPr>
        <w:t xml:space="preserve"> evrov bi pomenil borih 0,6 odstotka slovenske javne porabe. </w:t>
      </w:r>
    </w:p>
    <w:p w:rsidR="009D0702" w:rsidRPr="00433C8D" w:rsidRDefault="009D0702" w:rsidP="009D0702">
      <w:pPr>
        <w:pStyle w:val="Odstavekseznama"/>
        <w:numPr>
          <w:ilvl w:val="0"/>
          <w:numId w:val="7"/>
        </w:numPr>
        <w:rPr>
          <w:rFonts w:ascii="Tahoma" w:hAnsi="Tahoma" w:cs="Tahoma"/>
          <w:b/>
        </w:rPr>
      </w:pPr>
      <w:r w:rsidRPr="00433C8D">
        <w:rPr>
          <w:rFonts w:ascii="Tahoma" w:hAnsi="Tahoma" w:cs="Tahoma"/>
          <w:b/>
        </w:rPr>
        <w:t>Privilegirani javni sektor.</w:t>
      </w:r>
    </w:p>
    <w:p w:rsidR="009D0702" w:rsidRPr="00433C8D" w:rsidRDefault="009D0702" w:rsidP="009D0702">
      <w:pPr>
        <w:pStyle w:val="Odstavekseznama"/>
        <w:rPr>
          <w:rFonts w:ascii="Tahoma" w:hAnsi="Tahoma" w:cs="Tahoma"/>
        </w:rPr>
      </w:pPr>
      <w:r w:rsidRPr="00433C8D">
        <w:rPr>
          <w:rFonts w:ascii="Tahoma" w:hAnsi="Tahoma" w:cs="Tahoma"/>
        </w:rPr>
        <w:t>Če bo Vlada vztrajala pri predlogu finančnega ministrstva, hkrati pa še naprej popuščala sindikatom javnega sektorja pri plačnem dogovoru, bo zopet</w:t>
      </w:r>
      <w:r>
        <w:rPr>
          <w:rFonts w:ascii="Tahoma" w:hAnsi="Tahoma" w:cs="Tahoma"/>
        </w:rPr>
        <w:t>, tako kot že lani,</w:t>
      </w:r>
      <w:r w:rsidRPr="00433C8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privilegirala javni sektor na račun zaposlenih</w:t>
      </w:r>
      <w:r w:rsidRPr="00433C8D">
        <w:rPr>
          <w:rFonts w:ascii="Tahoma" w:hAnsi="Tahoma" w:cs="Tahoma"/>
        </w:rPr>
        <w:t xml:space="preserve"> v gospodarstvu. Predlog GZS in ZDSS po dinamični metodi pomeni 328 milijonov evrov vredno davčno reformo </w:t>
      </w:r>
      <w:r w:rsidRPr="001A11C0">
        <w:rPr>
          <w:rFonts w:ascii="Tahoma" w:hAnsi="Tahoma" w:cs="Tahoma"/>
        </w:rPr>
        <w:t>za 570.000 zaposlenih, sindikati javnega sektorja pa zahtevajo 380 milijonov za samo 160. 000 javnih uslužbencev.</w:t>
      </w:r>
    </w:p>
    <w:p w:rsidR="00C434EB" w:rsidRPr="00433C8D" w:rsidRDefault="00433C8D" w:rsidP="001722D4">
      <w:pPr>
        <w:pStyle w:val="Odstavekseznama"/>
        <w:numPr>
          <w:ilvl w:val="0"/>
          <w:numId w:val="7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Sveženj, ki znižuje gospodarsko</w:t>
      </w:r>
      <w:r w:rsidR="00C434EB" w:rsidRPr="00433C8D">
        <w:rPr>
          <w:rFonts w:ascii="Tahoma" w:hAnsi="Tahoma" w:cs="Tahoma"/>
          <w:b/>
        </w:rPr>
        <w:t xml:space="preserve"> rast.</w:t>
      </w:r>
    </w:p>
    <w:p w:rsidR="00F21AA1" w:rsidRPr="00433C8D" w:rsidRDefault="001A11C0" w:rsidP="00C434EB">
      <w:pPr>
        <w:pStyle w:val="Odstavekseznama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C434EB" w:rsidRPr="00433C8D">
        <w:rPr>
          <w:rFonts w:ascii="Tahoma" w:hAnsi="Tahoma" w:cs="Tahoma"/>
        </w:rPr>
        <w:t>ladni Urad za makoroekonomske analize</w:t>
      </w:r>
      <w:r w:rsidR="002D2725">
        <w:rPr>
          <w:rFonts w:ascii="Tahoma" w:hAnsi="Tahoma" w:cs="Tahoma"/>
        </w:rPr>
        <w:t xml:space="preserve"> in razvoj</w:t>
      </w:r>
      <w:r w:rsidR="00C434EB" w:rsidRPr="00433C8D">
        <w:rPr>
          <w:rFonts w:ascii="Tahoma" w:hAnsi="Tahoma" w:cs="Tahoma"/>
        </w:rPr>
        <w:t xml:space="preserve">, </w:t>
      </w:r>
      <w:r w:rsidR="00F21AA1" w:rsidRPr="00433C8D">
        <w:rPr>
          <w:rFonts w:ascii="Tahoma" w:hAnsi="Tahoma" w:cs="Tahoma"/>
        </w:rPr>
        <w:t>Umar</w:t>
      </w:r>
      <w:r w:rsidR="00C434EB" w:rsidRPr="00433C8D">
        <w:rPr>
          <w:rFonts w:ascii="Tahoma" w:hAnsi="Tahoma" w:cs="Tahoma"/>
        </w:rPr>
        <w:t>,</w:t>
      </w:r>
      <w:r w:rsidR="00F21AA1" w:rsidRPr="00433C8D">
        <w:rPr>
          <w:rFonts w:ascii="Tahoma" w:hAnsi="Tahoma" w:cs="Tahoma"/>
        </w:rPr>
        <w:t> </w:t>
      </w:r>
      <w:r w:rsidR="00C434EB" w:rsidRPr="00433C8D">
        <w:rPr>
          <w:rFonts w:ascii="Tahoma" w:hAnsi="Tahoma" w:cs="Tahoma"/>
        </w:rPr>
        <w:t xml:space="preserve">je opozoril, </w:t>
      </w:r>
      <w:r w:rsidR="00F21AA1" w:rsidRPr="00433C8D">
        <w:rPr>
          <w:rFonts w:ascii="Tahoma" w:hAnsi="Tahoma" w:cs="Tahoma"/>
        </w:rPr>
        <w:t xml:space="preserve">da bi </w:t>
      </w:r>
      <w:r w:rsidR="00C434EB" w:rsidRPr="00433C8D">
        <w:rPr>
          <w:rFonts w:ascii="Tahoma" w:hAnsi="Tahoma" w:cs="Tahoma"/>
        </w:rPr>
        <w:t xml:space="preserve">takšen </w:t>
      </w:r>
      <w:r w:rsidR="00F21AA1" w:rsidRPr="00433C8D">
        <w:rPr>
          <w:rFonts w:ascii="Tahoma" w:hAnsi="Tahoma" w:cs="Tahoma"/>
        </w:rPr>
        <w:t xml:space="preserve">sveženj ukrepov </w:t>
      </w:r>
      <w:r>
        <w:rPr>
          <w:rFonts w:ascii="Tahoma" w:hAnsi="Tahoma" w:cs="Tahoma"/>
        </w:rPr>
        <w:t xml:space="preserve">celo </w:t>
      </w:r>
      <w:r w:rsidR="00F21AA1" w:rsidRPr="00433C8D">
        <w:rPr>
          <w:rFonts w:ascii="Tahoma" w:hAnsi="Tahoma" w:cs="Tahoma"/>
        </w:rPr>
        <w:t>zmanjšal gospodarsko rast.</w:t>
      </w:r>
      <w:r w:rsidR="00C434EB" w:rsidRPr="00433C8D">
        <w:rPr>
          <w:rFonts w:ascii="Tahoma" w:hAnsi="Tahoma" w:cs="Tahoma"/>
        </w:rPr>
        <w:t xml:space="preserve"> Zvišanje stopnje davka od </w:t>
      </w:r>
      <w:r w:rsidR="009D0702" w:rsidRPr="009D0702">
        <w:rPr>
          <w:rFonts w:ascii="Tahoma" w:hAnsi="Tahoma" w:cs="Tahoma"/>
        </w:rPr>
        <w:t>dohodkov</w:t>
      </w:r>
      <w:r w:rsidR="00C434EB" w:rsidRPr="00433C8D">
        <w:rPr>
          <w:rFonts w:ascii="Tahoma" w:hAnsi="Tahoma" w:cs="Tahoma"/>
        </w:rPr>
        <w:t xml:space="preserve"> pravnih oseb </w:t>
      </w:r>
      <w:r>
        <w:rPr>
          <w:rFonts w:ascii="Tahoma" w:hAnsi="Tahoma" w:cs="Tahoma"/>
        </w:rPr>
        <w:t xml:space="preserve">denimo </w:t>
      </w:r>
      <w:r w:rsidR="00C434EB" w:rsidRPr="00433C8D">
        <w:rPr>
          <w:rFonts w:ascii="Tahoma" w:hAnsi="Tahoma" w:cs="Tahoma"/>
        </w:rPr>
        <w:t>zniža donosnost na kapital in s tem zniža povpraševanje po zasebnih investicijah, kar ima trajno negativen učinek na rast BDP.</w:t>
      </w:r>
    </w:p>
    <w:p w:rsidR="00B96EB5" w:rsidRPr="003D2724" w:rsidRDefault="009D0702" w:rsidP="001722D4">
      <w:pPr>
        <w:rPr>
          <w:rFonts w:cs="Tahoma"/>
          <w:sz w:val="22"/>
          <w:szCs w:val="22"/>
          <w:shd w:val="clear" w:color="auto" w:fill="FFFFFF"/>
        </w:rPr>
      </w:pPr>
      <w:r w:rsidRPr="003D2724">
        <w:rPr>
          <w:rFonts w:cs="Tahoma"/>
          <w:sz w:val="22"/>
          <w:szCs w:val="22"/>
        </w:rPr>
        <w:t>Ministrstvo za finance</w:t>
      </w:r>
      <w:r w:rsidR="00433C8D" w:rsidRPr="003D2724">
        <w:rPr>
          <w:rFonts w:cs="Tahoma"/>
          <w:sz w:val="22"/>
          <w:szCs w:val="22"/>
        </w:rPr>
        <w:t xml:space="preserve"> javnofinančno</w:t>
      </w:r>
      <w:r w:rsidR="00F21AA1" w:rsidRPr="003D2724">
        <w:rPr>
          <w:rFonts w:cs="Tahoma"/>
          <w:sz w:val="22"/>
          <w:szCs w:val="22"/>
        </w:rPr>
        <w:t xml:space="preserve"> konso</w:t>
      </w:r>
      <w:r w:rsidR="002D2725" w:rsidRPr="003D2724">
        <w:rPr>
          <w:rFonts w:cs="Tahoma"/>
          <w:sz w:val="22"/>
          <w:szCs w:val="22"/>
        </w:rPr>
        <w:t>lidacijo</w:t>
      </w:r>
      <w:r w:rsidR="00433C8D" w:rsidRPr="003D2724">
        <w:rPr>
          <w:rFonts w:cs="Tahoma"/>
          <w:sz w:val="22"/>
          <w:szCs w:val="22"/>
        </w:rPr>
        <w:t xml:space="preserve"> izvaja brez resnih ukrepov na področju javnofinančnih odhodkov. Podjetja pa bi bila celo bolj obremenjena. </w:t>
      </w:r>
      <w:r w:rsidR="001A11C0" w:rsidRPr="003D2724">
        <w:rPr>
          <w:rFonts w:cs="Tahoma"/>
          <w:sz w:val="22"/>
          <w:szCs w:val="22"/>
          <w:shd w:val="clear" w:color="auto" w:fill="FFFFFF"/>
        </w:rPr>
        <w:t xml:space="preserve">Če želimo prave učinke, potrebujemo resnejšo reformo. </w:t>
      </w:r>
      <w:r w:rsidR="00433C8D" w:rsidRPr="003D2724">
        <w:rPr>
          <w:rFonts w:cs="Tahoma"/>
          <w:sz w:val="22"/>
          <w:szCs w:val="22"/>
          <w:shd w:val="clear" w:color="auto" w:fill="FFFFFF"/>
        </w:rPr>
        <w:t>Več</w:t>
      </w:r>
      <w:r w:rsidRPr="003D2724">
        <w:rPr>
          <w:rFonts w:cs="Tahoma"/>
          <w:sz w:val="22"/>
          <w:szCs w:val="22"/>
          <w:shd w:val="clear" w:color="auto" w:fill="FFFFFF"/>
        </w:rPr>
        <w:t xml:space="preserve"> o predlogih GZS in ZDSS</w:t>
      </w:r>
      <w:r w:rsidR="00433C8D" w:rsidRPr="003D2724">
        <w:rPr>
          <w:rFonts w:cs="Tahoma"/>
          <w:sz w:val="22"/>
          <w:szCs w:val="22"/>
          <w:shd w:val="clear" w:color="auto" w:fill="FFFFFF"/>
        </w:rPr>
        <w:t xml:space="preserve">: </w:t>
      </w:r>
    </w:p>
    <w:p w:rsidR="00B96EB5" w:rsidRDefault="003D2724" w:rsidP="001722D4">
      <w:pPr>
        <w:rPr>
          <w:rFonts w:cs="Tahoma"/>
          <w:color w:val="333333"/>
          <w:sz w:val="22"/>
          <w:szCs w:val="22"/>
          <w:shd w:val="clear" w:color="auto" w:fill="FFFFFF"/>
        </w:rPr>
      </w:pPr>
      <w:hyperlink r:id="rId11" w:history="1">
        <w:r w:rsidR="00B96EB5" w:rsidRPr="003D2724">
          <w:rPr>
            <w:rStyle w:val="Hiperpovezava"/>
            <w:rFonts w:cs="Tahoma"/>
            <w:sz w:val="20"/>
            <w:szCs w:val="22"/>
            <w:shd w:val="clear" w:color="auto" w:fill="FFFFFF"/>
          </w:rPr>
          <w:t>https://www.gzs.si/skupne_naloge/stalisca_in_komentarji/Novice/ArticleId/52259/zahtevamo-pravicno-delitev-sadov-gospodarske-rasti</w:t>
        </w:r>
      </w:hyperlink>
      <w:r w:rsidR="001A11C0" w:rsidRPr="003D2724">
        <w:rPr>
          <w:rFonts w:cs="Tahoma"/>
          <w:color w:val="333333"/>
          <w:sz w:val="20"/>
          <w:szCs w:val="22"/>
          <w:shd w:val="clear" w:color="auto" w:fill="FFFFFF"/>
        </w:rPr>
        <w:t xml:space="preserve"> in </w:t>
      </w:r>
      <w:hyperlink r:id="rId12" w:history="1">
        <w:r w:rsidR="00B96EB5" w:rsidRPr="003D2724">
          <w:rPr>
            <w:rStyle w:val="Hiperpovezava"/>
            <w:rFonts w:cs="Tahoma"/>
            <w:sz w:val="20"/>
            <w:szCs w:val="22"/>
            <w:shd w:val="clear" w:color="auto" w:fill="FFFFFF"/>
          </w:rPr>
          <w:t>https://www.gzs.si/skupne_naloge/stalisca_in_komentarji/Novice/ArticleId/51805/za-resno-ne-pa-kozmeticno-davcno-reformo</w:t>
        </w:r>
      </w:hyperlink>
      <w:r w:rsidR="00B96EB5">
        <w:rPr>
          <w:rFonts w:cs="Tahoma"/>
          <w:color w:val="333333"/>
          <w:sz w:val="22"/>
          <w:szCs w:val="22"/>
          <w:shd w:val="clear" w:color="auto" w:fill="FFFFFF"/>
        </w:rPr>
        <w:t xml:space="preserve"> </w:t>
      </w:r>
    </w:p>
    <w:p w:rsidR="00B96EB5" w:rsidRPr="003D2724" w:rsidRDefault="009D0702" w:rsidP="00B96EB5">
      <w:pPr>
        <w:rPr>
          <w:rFonts w:cs="Tahoma"/>
          <w:sz w:val="20"/>
          <w:szCs w:val="22"/>
        </w:rPr>
      </w:pPr>
      <w:r w:rsidRPr="003D2724">
        <w:rPr>
          <w:rFonts w:cs="Tahoma"/>
          <w:sz w:val="20"/>
          <w:szCs w:val="22"/>
          <w:shd w:val="clear" w:color="auto" w:fill="FFFFFF"/>
        </w:rPr>
        <w:t>Pričakujemo resnejšo reformo. Za primerjavo</w:t>
      </w:r>
      <w:r w:rsidR="00B96EB5" w:rsidRPr="003D2724">
        <w:rPr>
          <w:rFonts w:cs="Tahoma"/>
          <w:sz w:val="20"/>
          <w:szCs w:val="22"/>
          <w:shd w:val="clear" w:color="auto" w:fill="FFFFFF"/>
        </w:rPr>
        <w:t xml:space="preserve"> slovenskih davčnih sprememb z avstrijskimi</w:t>
      </w:r>
      <w:r w:rsidR="00B96EB5" w:rsidRPr="003D2724">
        <w:rPr>
          <w:rFonts w:cs="Tahoma"/>
          <w:bCs/>
          <w:iCs/>
          <w:sz w:val="20"/>
          <w:szCs w:val="22"/>
          <w:bdr w:val="none" w:sz="0" w:space="0" w:color="auto" w:frame="1"/>
          <w:shd w:val="clear" w:color="auto" w:fill="FFFFFF"/>
        </w:rPr>
        <w:t xml:space="preserve">: </w:t>
      </w:r>
      <w:r w:rsidR="00B96EB5" w:rsidRPr="003D2724">
        <w:rPr>
          <w:rFonts w:cs="Tahoma"/>
          <w:sz w:val="20"/>
          <w:szCs w:val="22"/>
          <w:shd w:val="clear" w:color="auto" w:fill="FFFFFF"/>
        </w:rPr>
        <w:t xml:space="preserve">avstrijska vlada z reformo cilja na povečanje kupne moči, zato </w:t>
      </w:r>
      <w:r w:rsidR="00B96EB5" w:rsidRPr="003D2724">
        <w:rPr>
          <w:rStyle w:val="Krepko"/>
          <w:rFonts w:eastAsiaTheme="majorEastAsia" w:cs="Tahoma"/>
          <w:b w:val="0"/>
          <w:sz w:val="20"/>
          <w:szCs w:val="22"/>
          <w:shd w:val="clear" w:color="auto" w:fill="FFFFFF"/>
        </w:rPr>
        <w:t>je pripravila korenito davčno reformo, od katere si državljani lahko obetajo davčne razbremenitve v višini kar - petih milijard evrov.</w:t>
      </w:r>
      <w:r w:rsidR="00B96EB5" w:rsidRPr="003D2724">
        <w:rPr>
          <w:rStyle w:val="Krepko"/>
          <w:rFonts w:eastAsiaTheme="majorEastAsia" w:cs="Tahoma"/>
          <w:sz w:val="20"/>
          <w:szCs w:val="22"/>
          <w:shd w:val="clear" w:color="auto" w:fill="FFFFFF"/>
        </w:rPr>
        <w:t xml:space="preserve"> </w:t>
      </w:r>
    </w:p>
    <w:p w:rsidR="0037077C" w:rsidRPr="003D2724" w:rsidRDefault="0037077C" w:rsidP="00AE2724">
      <w:pPr>
        <w:jc w:val="both"/>
        <w:rPr>
          <w:rFonts w:cs="Tahoma"/>
          <w:color w:val="000000"/>
          <w:sz w:val="20"/>
          <w:szCs w:val="22"/>
        </w:rPr>
      </w:pPr>
      <w:r w:rsidRPr="003D2724">
        <w:rPr>
          <w:rFonts w:cs="Tahoma"/>
          <w:color w:val="000000"/>
          <w:sz w:val="20"/>
          <w:szCs w:val="22"/>
        </w:rPr>
        <w:t xml:space="preserve">Pripravila: </w:t>
      </w:r>
      <w:r w:rsidR="001722D4" w:rsidRPr="003D2724">
        <w:rPr>
          <w:rFonts w:cs="Tahoma"/>
          <w:color w:val="000000"/>
          <w:sz w:val="20"/>
          <w:szCs w:val="22"/>
        </w:rPr>
        <w:t>Analitika</w:t>
      </w:r>
      <w:r w:rsidRPr="003D2724">
        <w:rPr>
          <w:rFonts w:cs="Tahoma"/>
          <w:color w:val="000000"/>
          <w:sz w:val="20"/>
          <w:szCs w:val="22"/>
        </w:rPr>
        <w:t xml:space="preserve"> GZS</w:t>
      </w:r>
    </w:p>
    <w:p w:rsidR="00B0385E" w:rsidRPr="00956E56" w:rsidRDefault="001722D4" w:rsidP="00AE2724">
      <w:pPr>
        <w:jc w:val="both"/>
        <w:rPr>
          <w:rFonts w:cs="Tahoma"/>
        </w:rPr>
      </w:pPr>
      <w:r w:rsidRPr="001722D4">
        <w:rPr>
          <w:rFonts w:cs="Tahoma"/>
          <w:noProof/>
        </w:rPr>
        <w:drawing>
          <wp:inline distT="0" distB="0" distL="0" distR="0">
            <wp:extent cx="1682151" cy="519879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00" cy="53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85E" w:rsidRPr="00956E56" w:rsidSect="00B0385E">
      <w:pgSz w:w="11906" w:h="16838"/>
      <w:pgMar w:top="899" w:right="1106" w:bottom="900" w:left="900" w:header="708" w:footer="708" w:gutter="0"/>
      <w:pgBorders w:offsetFrom="page">
        <w:top w:val="single" w:sz="4" w:space="24" w:color="5C141F"/>
        <w:left w:val="single" w:sz="4" w:space="24" w:color="5C141F"/>
        <w:bottom w:val="single" w:sz="4" w:space="24" w:color="5C141F"/>
        <w:right w:val="single" w:sz="4" w:space="24" w:color="5C141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8E" w:rsidRDefault="00BD178E">
      <w:r>
        <w:separator/>
      </w:r>
    </w:p>
  </w:endnote>
  <w:endnote w:type="continuationSeparator" w:id="0">
    <w:p w:rsidR="00BD178E" w:rsidRDefault="00BD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8E" w:rsidRDefault="00BD178E">
      <w:r>
        <w:separator/>
      </w:r>
    </w:p>
  </w:footnote>
  <w:footnote w:type="continuationSeparator" w:id="0">
    <w:p w:rsidR="00BD178E" w:rsidRDefault="00BD1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B0F05"/>
    <w:multiLevelType w:val="hybridMultilevel"/>
    <w:tmpl w:val="A3DCC8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28D4"/>
    <w:multiLevelType w:val="hybridMultilevel"/>
    <w:tmpl w:val="11F407E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2EF10FC"/>
    <w:multiLevelType w:val="hybridMultilevel"/>
    <w:tmpl w:val="9C341F00"/>
    <w:lvl w:ilvl="0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50C0581"/>
    <w:multiLevelType w:val="hybridMultilevel"/>
    <w:tmpl w:val="9EA82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D4B44"/>
    <w:multiLevelType w:val="hybridMultilevel"/>
    <w:tmpl w:val="5F7216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2D5A"/>
    <w:multiLevelType w:val="hybridMultilevel"/>
    <w:tmpl w:val="4010FF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C6488"/>
    <w:multiLevelType w:val="hybridMultilevel"/>
    <w:tmpl w:val="C60E7D74"/>
    <w:lvl w:ilvl="0" w:tplc="120ED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C0"/>
    <w:rsid w:val="00004F74"/>
    <w:rsid w:val="00010118"/>
    <w:rsid w:val="0001292A"/>
    <w:rsid w:val="000179F0"/>
    <w:rsid w:val="0004298A"/>
    <w:rsid w:val="00075F45"/>
    <w:rsid w:val="0007798F"/>
    <w:rsid w:val="00087F84"/>
    <w:rsid w:val="000B1DCB"/>
    <w:rsid w:val="000D5F2D"/>
    <w:rsid w:val="000E3519"/>
    <w:rsid w:val="000F0679"/>
    <w:rsid w:val="000F760C"/>
    <w:rsid w:val="00113FFA"/>
    <w:rsid w:val="00117B50"/>
    <w:rsid w:val="00122345"/>
    <w:rsid w:val="00126461"/>
    <w:rsid w:val="0013044A"/>
    <w:rsid w:val="00147D93"/>
    <w:rsid w:val="00157098"/>
    <w:rsid w:val="00166A19"/>
    <w:rsid w:val="00167D1A"/>
    <w:rsid w:val="001722D4"/>
    <w:rsid w:val="00175F68"/>
    <w:rsid w:val="001876AD"/>
    <w:rsid w:val="001A11C0"/>
    <w:rsid w:val="001A339D"/>
    <w:rsid w:val="001B061D"/>
    <w:rsid w:val="001C6A39"/>
    <w:rsid w:val="00213ECE"/>
    <w:rsid w:val="00216667"/>
    <w:rsid w:val="002354DE"/>
    <w:rsid w:val="00236642"/>
    <w:rsid w:val="00274E94"/>
    <w:rsid w:val="00294FD8"/>
    <w:rsid w:val="002C48F8"/>
    <w:rsid w:val="002D2725"/>
    <w:rsid w:val="002D3F30"/>
    <w:rsid w:val="002D6454"/>
    <w:rsid w:val="002E542C"/>
    <w:rsid w:val="00310C89"/>
    <w:rsid w:val="00311763"/>
    <w:rsid w:val="0032731D"/>
    <w:rsid w:val="00333BB8"/>
    <w:rsid w:val="003359C7"/>
    <w:rsid w:val="00344A7C"/>
    <w:rsid w:val="003504C8"/>
    <w:rsid w:val="0037077C"/>
    <w:rsid w:val="00373E9F"/>
    <w:rsid w:val="00380BD6"/>
    <w:rsid w:val="003A40FF"/>
    <w:rsid w:val="003B0B18"/>
    <w:rsid w:val="003B3D2E"/>
    <w:rsid w:val="003C0408"/>
    <w:rsid w:val="003C277E"/>
    <w:rsid w:val="003D2724"/>
    <w:rsid w:val="003E000B"/>
    <w:rsid w:val="003E081A"/>
    <w:rsid w:val="003E4F96"/>
    <w:rsid w:val="003E7125"/>
    <w:rsid w:val="003F291A"/>
    <w:rsid w:val="00400289"/>
    <w:rsid w:val="00406585"/>
    <w:rsid w:val="00423CCB"/>
    <w:rsid w:val="00426FD6"/>
    <w:rsid w:val="00431F63"/>
    <w:rsid w:val="00433C8D"/>
    <w:rsid w:val="004370F3"/>
    <w:rsid w:val="00441580"/>
    <w:rsid w:val="00450779"/>
    <w:rsid w:val="00455151"/>
    <w:rsid w:val="00460EAB"/>
    <w:rsid w:val="00475864"/>
    <w:rsid w:val="004A08AF"/>
    <w:rsid w:val="004E51D6"/>
    <w:rsid w:val="004F5AE6"/>
    <w:rsid w:val="00502CF0"/>
    <w:rsid w:val="00526B3A"/>
    <w:rsid w:val="0053342E"/>
    <w:rsid w:val="005664C2"/>
    <w:rsid w:val="005730E4"/>
    <w:rsid w:val="00577C82"/>
    <w:rsid w:val="005962E1"/>
    <w:rsid w:val="005A08B9"/>
    <w:rsid w:val="005B0EF4"/>
    <w:rsid w:val="005B2206"/>
    <w:rsid w:val="005B4D94"/>
    <w:rsid w:val="005B5E34"/>
    <w:rsid w:val="005D0757"/>
    <w:rsid w:val="005F245A"/>
    <w:rsid w:val="005F4533"/>
    <w:rsid w:val="00616AF9"/>
    <w:rsid w:val="00620428"/>
    <w:rsid w:val="00632897"/>
    <w:rsid w:val="006529C4"/>
    <w:rsid w:val="0066281D"/>
    <w:rsid w:val="00663C5F"/>
    <w:rsid w:val="00677609"/>
    <w:rsid w:val="006805CE"/>
    <w:rsid w:val="00695578"/>
    <w:rsid w:val="006A4A48"/>
    <w:rsid w:val="006A4B99"/>
    <w:rsid w:val="006C3F14"/>
    <w:rsid w:val="006C6B19"/>
    <w:rsid w:val="006E496E"/>
    <w:rsid w:val="006F1F66"/>
    <w:rsid w:val="006F7FF6"/>
    <w:rsid w:val="00705950"/>
    <w:rsid w:val="00706D9A"/>
    <w:rsid w:val="00707017"/>
    <w:rsid w:val="00741971"/>
    <w:rsid w:val="00742437"/>
    <w:rsid w:val="007444C8"/>
    <w:rsid w:val="00757F91"/>
    <w:rsid w:val="00767D96"/>
    <w:rsid w:val="00771324"/>
    <w:rsid w:val="00771728"/>
    <w:rsid w:val="007724CC"/>
    <w:rsid w:val="007779BD"/>
    <w:rsid w:val="007A6798"/>
    <w:rsid w:val="007A7DE1"/>
    <w:rsid w:val="007C78F8"/>
    <w:rsid w:val="007D00D4"/>
    <w:rsid w:val="007D5FBE"/>
    <w:rsid w:val="007E18B0"/>
    <w:rsid w:val="007E3FE7"/>
    <w:rsid w:val="007F6388"/>
    <w:rsid w:val="00803776"/>
    <w:rsid w:val="00816CF9"/>
    <w:rsid w:val="00834884"/>
    <w:rsid w:val="008420C7"/>
    <w:rsid w:val="008467EA"/>
    <w:rsid w:val="00847582"/>
    <w:rsid w:val="008567A0"/>
    <w:rsid w:val="00866B16"/>
    <w:rsid w:val="00874B5B"/>
    <w:rsid w:val="00875D1A"/>
    <w:rsid w:val="008766EE"/>
    <w:rsid w:val="00895625"/>
    <w:rsid w:val="008A0DFE"/>
    <w:rsid w:val="008B278C"/>
    <w:rsid w:val="008D3679"/>
    <w:rsid w:val="008D57F9"/>
    <w:rsid w:val="008E41E9"/>
    <w:rsid w:val="008F11FB"/>
    <w:rsid w:val="008F2450"/>
    <w:rsid w:val="00903A3C"/>
    <w:rsid w:val="00904E1A"/>
    <w:rsid w:val="0091124E"/>
    <w:rsid w:val="00922473"/>
    <w:rsid w:val="00935857"/>
    <w:rsid w:val="00936004"/>
    <w:rsid w:val="009467D0"/>
    <w:rsid w:val="00956E56"/>
    <w:rsid w:val="00965271"/>
    <w:rsid w:val="00975CE3"/>
    <w:rsid w:val="009815E0"/>
    <w:rsid w:val="00990047"/>
    <w:rsid w:val="009903C5"/>
    <w:rsid w:val="00993700"/>
    <w:rsid w:val="00996897"/>
    <w:rsid w:val="009A52FE"/>
    <w:rsid w:val="009B3D1A"/>
    <w:rsid w:val="009D0702"/>
    <w:rsid w:val="009D3848"/>
    <w:rsid w:val="009F3051"/>
    <w:rsid w:val="00A05B02"/>
    <w:rsid w:val="00A0633F"/>
    <w:rsid w:val="00A40BD7"/>
    <w:rsid w:val="00A50CEE"/>
    <w:rsid w:val="00A607C2"/>
    <w:rsid w:val="00A649B9"/>
    <w:rsid w:val="00A71BCF"/>
    <w:rsid w:val="00A72AEA"/>
    <w:rsid w:val="00A75B2D"/>
    <w:rsid w:val="00A77B1D"/>
    <w:rsid w:val="00A84F80"/>
    <w:rsid w:val="00A96DBA"/>
    <w:rsid w:val="00AB56D5"/>
    <w:rsid w:val="00AD1A80"/>
    <w:rsid w:val="00AD42B3"/>
    <w:rsid w:val="00AD66E1"/>
    <w:rsid w:val="00AD7BC0"/>
    <w:rsid w:val="00AE2724"/>
    <w:rsid w:val="00AE7CC6"/>
    <w:rsid w:val="00AF1A5A"/>
    <w:rsid w:val="00B01757"/>
    <w:rsid w:val="00B01BD5"/>
    <w:rsid w:val="00B01EBD"/>
    <w:rsid w:val="00B0385E"/>
    <w:rsid w:val="00B1197A"/>
    <w:rsid w:val="00B21A07"/>
    <w:rsid w:val="00B224E0"/>
    <w:rsid w:val="00B22964"/>
    <w:rsid w:val="00B35830"/>
    <w:rsid w:val="00B45F35"/>
    <w:rsid w:val="00B53084"/>
    <w:rsid w:val="00B530C8"/>
    <w:rsid w:val="00B857F1"/>
    <w:rsid w:val="00B9018E"/>
    <w:rsid w:val="00B926A8"/>
    <w:rsid w:val="00B93BB0"/>
    <w:rsid w:val="00B96EB5"/>
    <w:rsid w:val="00BA59E0"/>
    <w:rsid w:val="00BB1720"/>
    <w:rsid w:val="00BB6B83"/>
    <w:rsid w:val="00BC4702"/>
    <w:rsid w:val="00BD178E"/>
    <w:rsid w:val="00BD7421"/>
    <w:rsid w:val="00BE5AA3"/>
    <w:rsid w:val="00C04227"/>
    <w:rsid w:val="00C15818"/>
    <w:rsid w:val="00C21898"/>
    <w:rsid w:val="00C278DA"/>
    <w:rsid w:val="00C350F1"/>
    <w:rsid w:val="00C434EB"/>
    <w:rsid w:val="00C62E70"/>
    <w:rsid w:val="00C65FF9"/>
    <w:rsid w:val="00C774BB"/>
    <w:rsid w:val="00C820A8"/>
    <w:rsid w:val="00C92326"/>
    <w:rsid w:val="00C9343D"/>
    <w:rsid w:val="00CA7BC0"/>
    <w:rsid w:val="00CD1598"/>
    <w:rsid w:val="00CE1DDA"/>
    <w:rsid w:val="00CE26BE"/>
    <w:rsid w:val="00CF2326"/>
    <w:rsid w:val="00CF7DAB"/>
    <w:rsid w:val="00D01807"/>
    <w:rsid w:val="00D144D0"/>
    <w:rsid w:val="00D254C9"/>
    <w:rsid w:val="00D275F4"/>
    <w:rsid w:val="00D40F25"/>
    <w:rsid w:val="00D50DC9"/>
    <w:rsid w:val="00D67439"/>
    <w:rsid w:val="00D768FF"/>
    <w:rsid w:val="00D77DC7"/>
    <w:rsid w:val="00D83247"/>
    <w:rsid w:val="00D90A83"/>
    <w:rsid w:val="00DC0B59"/>
    <w:rsid w:val="00DD67CE"/>
    <w:rsid w:val="00DF2A5F"/>
    <w:rsid w:val="00DF36BD"/>
    <w:rsid w:val="00DF4212"/>
    <w:rsid w:val="00DF4F62"/>
    <w:rsid w:val="00E003DC"/>
    <w:rsid w:val="00E06FD9"/>
    <w:rsid w:val="00E14188"/>
    <w:rsid w:val="00E31654"/>
    <w:rsid w:val="00E41B7A"/>
    <w:rsid w:val="00E522AE"/>
    <w:rsid w:val="00E63509"/>
    <w:rsid w:val="00E92FDB"/>
    <w:rsid w:val="00EA0CE6"/>
    <w:rsid w:val="00EA1E83"/>
    <w:rsid w:val="00EC1840"/>
    <w:rsid w:val="00EC1892"/>
    <w:rsid w:val="00EC57C5"/>
    <w:rsid w:val="00EF6C08"/>
    <w:rsid w:val="00F03DB5"/>
    <w:rsid w:val="00F21AA1"/>
    <w:rsid w:val="00F2223B"/>
    <w:rsid w:val="00F42398"/>
    <w:rsid w:val="00F462DF"/>
    <w:rsid w:val="00F46B2B"/>
    <w:rsid w:val="00F47EEA"/>
    <w:rsid w:val="00F53117"/>
    <w:rsid w:val="00F56533"/>
    <w:rsid w:val="00F66334"/>
    <w:rsid w:val="00FA06E1"/>
    <w:rsid w:val="00FA73D0"/>
    <w:rsid w:val="00FB3CAF"/>
    <w:rsid w:val="00FC0670"/>
    <w:rsid w:val="00FC23CC"/>
    <w:rsid w:val="00FC3A57"/>
    <w:rsid w:val="00FF00FA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DC2784-EE7A-438E-860F-ED0D16B7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0757"/>
    <w:pPr>
      <w:spacing w:after="90"/>
    </w:pPr>
    <w:rPr>
      <w:rFonts w:ascii="Tahoma" w:hAnsi="Tahoma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5D0757"/>
    <w:pPr>
      <w:spacing w:before="360" w:after="270"/>
      <w:outlineLvl w:val="0"/>
    </w:pPr>
    <w:rPr>
      <w:rFonts w:cs="Tahoma"/>
      <w:b/>
      <w:color w:val="99CC00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E69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Glava">
    <w:name w:val="header"/>
    <w:basedOn w:val="Navaden"/>
    <w:link w:val="GlavaZnak"/>
    <w:uiPriority w:val="99"/>
    <w:rsid w:val="00C774BB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E694D"/>
    <w:rPr>
      <w:rFonts w:ascii="Tahoma" w:hAnsi="Tahoma"/>
      <w:sz w:val="24"/>
      <w:szCs w:val="24"/>
    </w:rPr>
  </w:style>
  <w:style w:type="paragraph" w:styleId="Noga">
    <w:name w:val="footer"/>
    <w:basedOn w:val="Navaden"/>
    <w:link w:val="NogaZnak"/>
    <w:uiPriority w:val="99"/>
    <w:rsid w:val="00C774BB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8E694D"/>
    <w:rPr>
      <w:rFonts w:ascii="Tahoma" w:hAnsi="Tahoma"/>
      <w:sz w:val="24"/>
      <w:szCs w:val="24"/>
    </w:rPr>
  </w:style>
  <w:style w:type="character" w:styleId="tevilkastrani">
    <w:name w:val="page number"/>
    <w:basedOn w:val="Privzetapisavaodstavka"/>
    <w:uiPriority w:val="99"/>
    <w:rsid w:val="00C774BB"/>
    <w:rPr>
      <w:rFonts w:cs="Times New Roman"/>
    </w:rPr>
  </w:style>
  <w:style w:type="paragraph" w:styleId="Navadensplet">
    <w:name w:val="Normal (Web)"/>
    <w:basedOn w:val="Navaden"/>
    <w:uiPriority w:val="99"/>
    <w:rsid w:val="00C774BB"/>
    <w:pPr>
      <w:spacing w:after="258" w:line="258" w:lineRule="atLeast"/>
      <w:jc w:val="both"/>
    </w:pPr>
    <w:rPr>
      <w:sz w:val="20"/>
      <w:szCs w:val="20"/>
    </w:rPr>
  </w:style>
  <w:style w:type="table" w:styleId="Tabelamrea">
    <w:name w:val="Table Grid"/>
    <w:basedOn w:val="Navadnatabela"/>
    <w:uiPriority w:val="99"/>
    <w:rsid w:val="00D90A83"/>
    <w:pPr>
      <w:spacing w:after="9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uiPriority w:val="99"/>
    <w:rsid w:val="006F1F66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/>
      <w:color w:val="000000"/>
      <w:lang w:val="en-GB"/>
    </w:rPr>
  </w:style>
  <w:style w:type="character" w:customStyle="1" w:styleId="TAJDAPELICON">
    <w:name w:val="TAJDA PELICON"/>
    <w:uiPriority w:val="99"/>
    <w:semiHidden/>
    <w:rsid w:val="00A649B9"/>
    <w:rPr>
      <w:rFonts w:ascii="Arial" w:hAnsi="Arial"/>
      <w:color w:val="000080"/>
      <w:sz w:val="20"/>
    </w:rPr>
  </w:style>
  <w:style w:type="character" w:styleId="Hiperpovezava">
    <w:name w:val="Hyperlink"/>
    <w:basedOn w:val="Privzetapisavaodstavka"/>
    <w:uiPriority w:val="99"/>
    <w:rsid w:val="00B926A8"/>
    <w:rPr>
      <w:rFonts w:cs="Times New Roman"/>
      <w:color w:val="0000FF"/>
      <w:u w:val="single"/>
    </w:rPr>
  </w:style>
  <w:style w:type="character" w:customStyle="1" w:styleId="st">
    <w:name w:val="st"/>
    <w:basedOn w:val="Privzetapisavaodstavka"/>
    <w:uiPriority w:val="99"/>
    <w:rsid w:val="00771324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771324"/>
    <w:rPr>
      <w:rFonts w:cs="Times New Roman"/>
      <w:i/>
    </w:rPr>
  </w:style>
  <w:style w:type="paragraph" w:styleId="Golobesedilo">
    <w:name w:val="Plain Text"/>
    <w:basedOn w:val="Navaden"/>
    <w:link w:val="GolobesediloZnak"/>
    <w:uiPriority w:val="99"/>
    <w:rsid w:val="00956E56"/>
    <w:pPr>
      <w:spacing w:after="0"/>
    </w:pPr>
    <w:rPr>
      <w:rFonts w:ascii="Calibri" w:hAnsi="Calibr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956E56"/>
    <w:rPr>
      <w:rFonts w:ascii="Calibri" w:eastAsia="Times New Roman" w:hAnsi="Calibri" w:cs="Times New Roman"/>
      <w:sz w:val="21"/>
      <w:szCs w:val="21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F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F35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923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232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2326"/>
    <w:rPr>
      <w:rFonts w:ascii="Tahoma" w:hAnsi="Tahoma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23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2326"/>
    <w:rPr>
      <w:rFonts w:ascii="Tahoma" w:hAnsi="Tahoma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56533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table" w:styleId="Navadnatabela1">
    <w:name w:val="Plain Table 1"/>
    <w:basedOn w:val="Navadnatabela"/>
    <w:uiPriority w:val="41"/>
    <w:rsid w:val="00AE27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Privzetapisavaodstavka"/>
    <w:rsid w:val="007444C8"/>
  </w:style>
  <w:style w:type="character" w:styleId="Krepko">
    <w:name w:val="Strong"/>
    <w:basedOn w:val="Privzetapisavaodstavka"/>
    <w:uiPriority w:val="22"/>
    <w:qFormat/>
    <w:locked/>
    <w:rsid w:val="003B3D2E"/>
    <w:rPr>
      <w:b/>
      <w:bCs/>
    </w:rPr>
  </w:style>
  <w:style w:type="character" w:customStyle="1" w:styleId="lexitem">
    <w:name w:val="lexitem"/>
    <w:basedOn w:val="Privzetapisavaodstavka"/>
    <w:rsid w:val="00B1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9507">
              <w:marLeft w:val="0"/>
              <w:marRight w:val="0"/>
              <w:marTop w:val="111"/>
              <w:marBottom w:val="0"/>
              <w:divBdr>
                <w:top w:val="single" w:sz="6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zs.si/skupne_naloge/stalisca_in_komentarji/Novice/ArticleId/51805/za-resno-ne-pa-kozmeticno-davcno-reform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zs.si/skupne_naloge/stalisca_in_komentarji/Novice/ArticleId/52259/zahtevamo-pravicno-delitev-sadov-gospodarske-rast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510CE9-97B6-457C-9AEC-015409BD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3008</Characters>
  <Application>Microsoft Office Word</Application>
  <DocSecurity>0</DocSecurity>
  <Lines>25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Gospodarska Zbornica Slovenije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Tajda Pelicon</cp:lastModifiedBy>
  <cp:revision>3</cp:revision>
  <cp:lastPrinted>2016-02-04T14:34:00Z</cp:lastPrinted>
  <dcterms:created xsi:type="dcterms:W3CDTF">2016-04-22T11:33:00Z</dcterms:created>
  <dcterms:modified xsi:type="dcterms:W3CDTF">2016-04-22T11:39:00Z</dcterms:modified>
</cp:coreProperties>
</file>