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3F" w:rsidRPr="00BB3DF2" w:rsidRDefault="00B0385E" w:rsidP="00AE2724">
      <w:pPr>
        <w:jc w:val="both"/>
        <w:rPr>
          <w:rFonts w:cs="Tahoma"/>
        </w:rPr>
      </w:pPr>
      <w:r w:rsidRPr="00BB3DF2">
        <w:rPr>
          <w:rFonts w:cs="Tahoma"/>
          <w:noProof/>
        </w:rPr>
        <w:drawing>
          <wp:anchor distT="0" distB="0" distL="114300" distR="114300" simplePos="0" relativeHeight="251659264" behindDoc="0" locked="0" layoutInCell="1" allowOverlap="1" wp14:anchorId="7547280D" wp14:editId="45D873CF">
            <wp:simplePos x="0" y="0"/>
            <wp:positionH relativeFrom="column">
              <wp:posOffset>4381500</wp:posOffset>
            </wp:positionH>
            <wp:positionV relativeFrom="paragraph">
              <wp:posOffset>10160</wp:posOffset>
            </wp:positionV>
            <wp:extent cx="2025992" cy="711835"/>
            <wp:effectExtent l="0" t="0" r="0" b="0"/>
            <wp:wrapNone/>
            <wp:docPr id="2" name="Slika 2" descr="C:\Users\Primož\AppData\Local\Microsoft\Windows\INetCache\Content.Word\komen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imož\AppData\Local\Microsoft\Windows\INetCache\Content.Word\komenta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92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051" w:rsidRPr="00BB3DF2">
        <w:rPr>
          <w:rFonts w:cs="Tahoma"/>
          <w:noProof/>
        </w:rPr>
        <w:drawing>
          <wp:inline distT="0" distB="0" distL="0" distR="0" wp14:anchorId="1BDF940F" wp14:editId="6B3FBE57">
            <wp:extent cx="855876" cy="499892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7257" cy="51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33F" w:rsidRPr="00BB3DF2" w:rsidRDefault="00A0633F" w:rsidP="00AE2724">
      <w:pPr>
        <w:jc w:val="both"/>
        <w:rPr>
          <w:rFonts w:cs="Tahoma"/>
        </w:rPr>
      </w:pPr>
    </w:p>
    <w:p w:rsidR="001722D4" w:rsidRPr="00BB3DF2" w:rsidRDefault="00E5542B" w:rsidP="00BB3DF2">
      <w:pPr>
        <w:rPr>
          <w:rFonts w:cs="Tahoma"/>
          <w:b/>
          <w:color w:val="5C141F"/>
          <w:sz w:val="36"/>
          <w:szCs w:val="36"/>
        </w:rPr>
      </w:pPr>
      <w:r>
        <w:rPr>
          <w:rFonts w:cs="Tahoma"/>
          <w:b/>
          <w:color w:val="5C141F"/>
          <w:sz w:val="36"/>
          <w:szCs w:val="36"/>
        </w:rPr>
        <w:t>Najvišji padec investicij v zadnjih 3 letih</w:t>
      </w:r>
    </w:p>
    <w:p w:rsidR="0037077C" w:rsidRPr="00BB3DF2" w:rsidRDefault="00E5542B" w:rsidP="00AE2724">
      <w:pPr>
        <w:jc w:val="both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31</w:t>
      </w:r>
      <w:r w:rsidR="00EE1002" w:rsidRPr="00BB3DF2">
        <w:rPr>
          <w:rFonts w:cs="Tahoma"/>
          <w:sz w:val="16"/>
          <w:szCs w:val="16"/>
        </w:rPr>
        <w:t>.5.2016</w:t>
      </w:r>
    </w:p>
    <w:p w:rsidR="007A224F" w:rsidRDefault="00E5542B" w:rsidP="00AE2724">
      <w:pPr>
        <w:shd w:val="clear" w:color="auto" w:fill="F2DBDB" w:themeFill="accent2" w:themeFillTint="33"/>
        <w:jc w:val="both"/>
        <w:rPr>
          <w:rFonts w:cs="Tahoma"/>
          <w:b/>
          <w:i/>
          <w:color w:val="000000"/>
          <w:sz w:val="22"/>
        </w:rPr>
      </w:pPr>
      <w:r>
        <w:rPr>
          <w:rFonts w:cs="Tahoma"/>
          <w:b/>
          <w:i/>
          <w:color w:val="000000"/>
          <w:sz w:val="22"/>
        </w:rPr>
        <w:t xml:space="preserve">Najšibkejša četrtletna rast v zadnjih dveh letih </w:t>
      </w:r>
      <w:r w:rsidR="00B645AC">
        <w:rPr>
          <w:rFonts w:cs="Tahoma"/>
          <w:b/>
          <w:i/>
          <w:color w:val="000000"/>
          <w:sz w:val="22"/>
        </w:rPr>
        <w:t xml:space="preserve">je </w:t>
      </w:r>
      <w:r>
        <w:rPr>
          <w:rFonts w:cs="Tahoma"/>
          <w:b/>
          <w:i/>
          <w:color w:val="000000"/>
          <w:sz w:val="22"/>
        </w:rPr>
        <w:t xml:space="preserve">posledica velikega padca investicij, delno tudi zadržanega trošenja gospodinjstev. </w:t>
      </w:r>
      <w:r w:rsidRPr="00EE7F99">
        <w:rPr>
          <w:rFonts w:cs="Tahoma"/>
          <w:b/>
          <w:i/>
          <w:color w:val="000000"/>
          <w:sz w:val="22"/>
        </w:rPr>
        <w:t>Izvoz</w:t>
      </w:r>
      <w:r w:rsidR="00EE7F99">
        <w:rPr>
          <w:rFonts w:cs="Tahoma"/>
          <w:b/>
          <w:i/>
          <w:color w:val="000000"/>
          <w:sz w:val="22"/>
        </w:rPr>
        <w:t xml:space="preserve"> je nad pričakovanji</w:t>
      </w:r>
      <w:r w:rsidRPr="00EE7F99">
        <w:rPr>
          <w:rFonts w:cs="Tahoma"/>
          <w:b/>
          <w:i/>
          <w:color w:val="000000"/>
          <w:sz w:val="22"/>
        </w:rPr>
        <w:t>.</w:t>
      </w:r>
      <w:r>
        <w:rPr>
          <w:rFonts w:cs="Tahoma"/>
          <w:b/>
          <w:i/>
          <w:color w:val="000000"/>
          <w:sz w:val="22"/>
        </w:rPr>
        <w:t xml:space="preserve"> </w:t>
      </w:r>
    </w:p>
    <w:p w:rsidR="007A224F" w:rsidRPr="007A224F" w:rsidRDefault="00F300A6" w:rsidP="00937EF2">
      <w:pPr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Investicije vlečejo voz navzdol</w:t>
      </w:r>
    </w:p>
    <w:p w:rsidR="002E528E" w:rsidRDefault="00165064" w:rsidP="009E3F9F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BDP se je realno povečal za 2,5 %, letos </w:t>
      </w:r>
      <w:r w:rsidR="00EE7F99">
        <w:rPr>
          <w:rFonts w:cs="Tahoma"/>
          <w:sz w:val="22"/>
          <w:szCs w:val="22"/>
        </w:rPr>
        <w:t xml:space="preserve">se bo </w:t>
      </w:r>
      <w:r w:rsidR="00B645AC">
        <w:rPr>
          <w:rFonts w:cs="Tahoma"/>
          <w:sz w:val="22"/>
          <w:szCs w:val="22"/>
        </w:rPr>
        <w:t xml:space="preserve">gospodarska rast </w:t>
      </w:r>
      <w:r w:rsidR="00EE7F99">
        <w:rPr>
          <w:rFonts w:cs="Tahoma"/>
          <w:sz w:val="22"/>
          <w:szCs w:val="22"/>
        </w:rPr>
        <w:t xml:space="preserve">tako </w:t>
      </w:r>
      <w:r>
        <w:rPr>
          <w:rFonts w:cs="Tahoma"/>
          <w:sz w:val="22"/>
          <w:szCs w:val="22"/>
        </w:rPr>
        <w:t xml:space="preserve">umirila blizu 2 %. </w:t>
      </w:r>
      <w:r w:rsidR="00F300A6">
        <w:rPr>
          <w:rFonts w:cs="Tahoma"/>
          <w:sz w:val="22"/>
          <w:szCs w:val="22"/>
        </w:rPr>
        <w:t>Investicije v osnovna sredstva so se zmanjšala za 8,2 %, predvsem zaradi zmanjšanja investicij v zgradbe in objekte (-27 %)</w:t>
      </w:r>
      <w:r w:rsidR="002A237B">
        <w:rPr>
          <w:rFonts w:cs="Tahoma"/>
          <w:sz w:val="22"/>
          <w:szCs w:val="22"/>
        </w:rPr>
        <w:t>. I</w:t>
      </w:r>
      <w:r w:rsidR="00F300A6">
        <w:rPr>
          <w:rFonts w:cs="Tahoma"/>
          <w:sz w:val="22"/>
          <w:szCs w:val="22"/>
        </w:rPr>
        <w:t xml:space="preserve">nvesticije v stroje in opremo </w:t>
      </w:r>
      <w:r w:rsidR="002A237B">
        <w:rPr>
          <w:rFonts w:cs="Tahoma"/>
          <w:sz w:val="22"/>
          <w:szCs w:val="22"/>
        </w:rPr>
        <w:t xml:space="preserve">so </w:t>
      </w:r>
      <w:r w:rsidR="00F300A6">
        <w:rPr>
          <w:rFonts w:cs="Tahoma"/>
          <w:sz w:val="22"/>
          <w:szCs w:val="22"/>
        </w:rPr>
        <w:t>ohranile zdravo rast,</w:t>
      </w:r>
      <w:r w:rsidR="00EE7F99">
        <w:rPr>
          <w:rFonts w:cs="Tahoma"/>
          <w:sz w:val="22"/>
          <w:szCs w:val="22"/>
        </w:rPr>
        <w:t xml:space="preserve"> </w:t>
      </w:r>
      <w:r w:rsidR="00F300A6">
        <w:rPr>
          <w:rFonts w:cs="Tahoma"/>
          <w:sz w:val="22"/>
          <w:szCs w:val="22"/>
        </w:rPr>
        <w:t xml:space="preserve">saj so se zvišale za okoli 9 %. To potrjuje živahno investicijsko dejavnost v zasebnem sektorju. </w:t>
      </w:r>
    </w:p>
    <w:p w:rsidR="00443D30" w:rsidRPr="00443D30" w:rsidRDefault="00E5542B" w:rsidP="009E3F9F">
      <w:pPr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Izvoz </w:t>
      </w:r>
      <w:r w:rsidR="00C83380">
        <w:rPr>
          <w:rFonts w:cs="Tahoma"/>
          <w:b/>
          <w:sz w:val="22"/>
          <w:szCs w:val="22"/>
        </w:rPr>
        <w:t>poskočil, pogled naprej zadržan</w:t>
      </w:r>
    </w:p>
    <w:p w:rsidR="00EE7F99" w:rsidRDefault="00C83380" w:rsidP="009E3F9F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Izvoz je v prvem četrtletju porasel za 5,3 %, od tega izvoz blaga za 4,9 % in izvoz storitev za 7,4 %. Blago izkazuje nekoliko bolj umirjeno dinamiko, kar je povezano z zapoznelim učinkom na manjši izvoz velikih evropskih gospodarstev na trge v razvoju. </w:t>
      </w:r>
      <w:r w:rsidR="00EE7F99">
        <w:rPr>
          <w:rFonts w:cs="Tahoma"/>
          <w:sz w:val="22"/>
          <w:szCs w:val="22"/>
        </w:rPr>
        <w:t>Krepka rast izvoza storitev je povezana s krepitvijo turističnega obiska ter dobrih rezultatov logistične verige.</w:t>
      </w:r>
    </w:p>
    <w:p w:rsidR="00502F11" w:rsidRDefault="00EE7F99" w:rsidP="009E3F9F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Pričakujemo, da se bo v </w:t>
      </w:r>
      <w:r w:rsidR="00C83380">
        <w:rPr>
          <w:rFonts w:cs="Tahoma"/>
          <w:sz w:val="22"/>
          <w:szCs w:val="22"/>
        </w:rPr>
        <w:t>prihodnjih četrtletjih rast</w:t>
      </w:r>
      <w:r>
        <w:rPr>
          <w:rFonts w:cs="Tahoma"/>
          <w:sz w:val="22"/>
          <w:szCs w:val="22"/>
        </w:rPr>
        <w:t xml:space="preserve"> izvoza blaga</w:t>
      </w:r>
      <w:r w:rsidR="00C83380">
        <w:rPr>
          <w:rFonts w:cs="Tahoma"/>
          <w:sz w:val="22"/>
          <w:szCs w:val="22"/>
        </w:rPr>
        <w:t xml:space="preserve"> zmanjšala, prav tako pogoji menjave ne bodo tako ugodni zaradi krepitve cen nafte in drugih surovin od marca naprej.</w:t>
      </w:r>
      <w:r w:rsidR="00155A18">
        <w:rPr>
          <w:rFonts w:cs="Tahoma"/>
          <w:sz w:val="22"/>
          <w:szCs w:val="22"/>
        </w:rPr>
        <w:t xml:space="preserve"> Turizem bo ohranil dobro dinamiko, predvsem zaradi percepcije Slovenije kot varne države ter tudi zaradi vrnitve domačega gosta.</w:t>
      </w:r>
    </w:p>
    <w:p w:rsidR="00D622F9" w:rsidRPr="00D622F9" w:rsidRDefault="00C83380" w:rsidP="009E3F9F">
      <w:pPr>
        <w:jc w:val="both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Šibkost zasebne porabe preseneča</w:t>
      </w:r>
    </w:p>
    <w:p w:rsidR="00165064" w:rsidRDefault="00017C70" w:rsidP="009E3F9F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Rast</w:t>
      </w:r>
      <w:r w:rsidR="00C83380">
        <w:rPr>
          <w:rFonts w:cs="Tahoma"/>
          <w:sz w:val="22"/>
          <w:szCs w:val="22"/>
        </w:rPr>
        <w:t xml:space="preserve"> porabe gospodinjstev je bila najnižja v zadnjem letu, kar je nekoliko presenetljivo, saj se je masa plač v zasebnem in javnem sektorju povečala, prav tako se povečuje število zaposlenih in zmanjšuje brezposelnost. To vsekakor tudi pomeni, da politika višjih plač v javnem sektorju ne deluje</w:t>
      </w:r>
      <w:r w:rsidR="00EE7F99">
        <w:rPr>
          <w:rFonts w:cs="Tahoma"/>
          <w:sz w:val="22"/>
          <w:szCs w:val="22"/>
        </w:rPr>
        <w:t>. Bistveno boljši mu</w:t>
      </w:r>
      <w:r w:rsidR="00155A18">
        <w:rPr>
          <w:rFonts w:cs="Tahoma"/>
          <w:sz w:val="22"/>
          <w:szCs w:val="22"/>
        </w:rPr>
        <w:t>ltiplikativni učinek bi dosegli</w:t>
      </w:r>
      <w:r w:rsidR="00C83380">
        <w:rPr>
          <w:rFonts w:cs="Tahoma"/>
          <w:sz w:val="22"/>
          <w:szCs w:val="22"/>
        </w:rPr>
        <w:t xml:space="preserve">, če bi država vendarle namenila nekoliko več </w:t>
      </w:r>
      <w:r w:rsidR="00B645AC">
        <w:rPr>
          <w:rFonts w:cs="Tahoma"/>
          <w:sz w:val="22"/>
          <w:szCs w:val="22"/>
        </w:rPr>
        <w:t>sredstev investicijam</w:t>
      </w:r>
      <w:r w:rsidR="00155A18">
        <w:rPr>
          <w:rFonts w:cs="Tahoma"/>
          <w:sz w:val="22"/>
          <w:szCs w:val="22"/>
        </w:rPr>
        <w:t>. Prav tako bi davčna razbremenitev dela po predlogu GZS in ZDSS, ki bi zajela 570.000 davčnih zavezancev, ugodneje vplivala na rast zasebne porabe kot pa dvig plač v javnem sektorju.</w:t>
      </w:r>
    </w:p>
    <w:p w:rsidR="00C83380" w:rsidRPr="00165064" w:rsidRDefault="00165064" w:rsidP="009E3F9F">
      <w:pPr>
        <w:jc w:val="both"/>
        <w:rPr>
          <w:rFonts w:cs="Tahoma"/>
          <w:b/>
          <w:sz w:val="22"/>
          <w:szCs w:val="22"/>
        </w:rPr>
      </w:pPr>
      <w:r w:rsidRPr="00165064">
        <w:rPr>
          <w:rFonts w:cs="Tahoma"/>
          <w:b/>
          <w:sz w:val="22"/>
          <w:szCs w:val="22"/>
        </w:rPr>
        <w:t>Trošenje države nad pričakovanji</w:t>
      </w:r>
      <w:r w:rsidR="00C83380" w:rsidRPr="00165064">
        <w:rPr>
          <w:rFonts w:cs="Tahoma"/>
          <w:b/>
          <w:sz w:val="22"/>
          <w:szCs w:val="22"/>
        </w:rPr>
        <w:t xml:space="preserve"> </w:t>
      </w:r>
    </w:p>
    <w:p w:rsidR="00BB3DF2" w:rsidRDefault="00165064" w:rsidP="00155A18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Trošenje države se je že drugo zaporedno četrtletje povečalo, in sicer najhitreje v zadnjih sedmih letih. To je povezano tako </w:t>
      </w:r>
      <w:r w:rsidR="00B645AC">
        <w:rPr>
          <w:rFonts w:cs="Tahoma"/>
          <w:sz w:val="22"/>
          <w:szCs w:val="22"/>
        </w:rPr>
        <w:t xml:space="preserve">z </w:t>
      </w:r>
      <w:r>
        <w:rPr>
          <w:rFonts w:cs="Tahoma"/>
          <w:sz w:val="22"/>
          <w:szCs w:val="22"/>
        </w:rPr>
        <w:t>visok</w:t>
      </w:r>
      <w:r w:rsidR="00B645AC">
        <w:rPr>
          <w:rFonts w:cs="Tahoma"/>
          <w:sz w:val="22"/>
          <w:szCs w:val="22"/>
        </w:rPr>
        <w:t>o</w:t>
      </w:r>
      <w:r>
        <w:rPr>
          <w:rFonts w:cs="Tahoma"/>
          <w:sz w:val="22"/>
          <w:szCs w:val="22"/>
        </w:rPr>
        <w:t xml:space="preserve"> rast</w:t>
      </w:r>
      <w:r w:rsidR="00B645AC">
        <w:rPr>
          <w:rFonts w:cs="Tahoma"/>
          <w:sz w:val="22"/>
          <w:szCs w:val="22"/>
        </w:rPr>
        <w:t>jo</w:t>
      </w:r>
      <w:r>
        <w:rPr>
          <w:rFonts w:cs="Tahoma"/>
          <w:sz w:val="22"/>
          <w:szCs w:val="22"/>
        </w:rPr>
        <w:t xml:space="preserve"> plač v javnem sektorju kot z izdatki z</w:t>
      </w:r>
      <w:r w:rsidR="00B645AC">
        <w:rPr>
          <w:rFonts w:cs="Tahoma"/>
          <w:sz w:val="22"/>
          <w:szCs w:val="22"/>
        </w:rPr>
        <w:t>aradi</w:t>
      </w:r>
      <w:r>
        <w:rPr>
          <w:rFonts w:cs="Tahoma"/>
          <w:sz w:val="22"/>
          <w:szCs w:val="22"/>
        </w:rPr>
        <w:t xml:space="preserve"> migrantsk</w:t>
      </w:r>
      <w:r w:rsidR="00155A18">
        <w:rPr>
          <w:rFonts w:cs="Tahoma"/>
          <w:sz w:val="22"/>
          <w:szCs w:val="22"/>
        </w:rPr>
        <w:t>e</w:t>
      </w:r>
      <w:r>
        <w:rPr>
          <w:rFonts w:cs="Tahoma"/>
          <w:sz w:val="22"/>
          <w:szCs w:val="22"/>
        </w:rPr>
        <w:t xml:space="preserve"> kriz</w:t>
      </w:r>
      <w:r w:rsidR="00155A18">
        <w:rPr>
          <w:rFonts w:cs="Tahoma"/>
          <w:sz w:val="22"/>
          <w:szCs w:val="22"/>
        </w:rPr>
        <w:t>e</w:t>
      </w:r>
      <w:r>
        <w:rPr>
          <w:rFonts w:cs="Tahoma"/>
          <w:sz w:val="22"/>
          <w:szCs w:val="22"/>
        </w:rPr>
        <w:t xml:space="preserve">. </w:t>
      </w:r>
      <w:r w:rsidR="00EE7F99">
        <w:rPr>
          <w:rFonts w:cs="Tahoma"/>
          <w:sz w:val="22"/>
          <w:szCs w:val="22"/>
        </w:rPr>
        <w:t xml:space="preserve">Rast </w:t>
      </w:r>
      <w:r>
        <w:rPr>
          <w:rFonts w:cs="Tahoma"/>
          <w:sz w:val="22"/>
          <w:szCs w:val="22"/>
        </w:rPr>
        <w:t xml:space="preserve"> je </w:t>
      </w:r>
      <w:r w:rsidR="00F300A6">
        <w:rPr>
          <w:rFonts w:cs="Tahoma"/>
          <w:sz w:val="22"/>
          <w:szCs w:val="22"/>
        </w:rPr>
        <w:t>p</w:t>
      </w:r>
      <w:r>
        <w:rPr>
          <w:rFonts w:cs="Tahoma"/>
          <w:sz w:val="22"/>
          <w:szCs w:val="22"/>
        </w:rPr>
        <w:t xml:space="preserve">recej </w:t>
      </w:r>
      <w:r w:rsidR="00EE7F99">
        <w:rPr>
          <w:rFonts w:cs="Tahoma"/>
          <w:sz w:val="22"/>
          <w:szCs w:val="22"/>
        </w:rPr>
        <w:t>višj</w:t>
      </w:r>
      <w:r w:rsidR="00155A18">
        <w:rPr>
          <w:rFonts w:cs="Tahoma"/>
          <w:sz w:val="22"/>
          <w:szCs w:val="22"/>
        </w:rPr>
        <w:t>a</w:t>
      </w:r>
      <w:r w:rsidR="00B645AC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 xml:space="preserve">od pričakovanj. </w:t>
      </w:r>
      <w:r w:rsidR="00EE7F99">
        <w:rPr>
          <w:rFonts w:cs="Tahoma"/>
          <w:sz w:val="22"/>
          <w:szCs w:val="22"/>
        </w:rPr>
        <w:t xml:space="preserve">Obstaja velika nevarnost, </w:t>
      </w:r>
      <w:r w:rsidR="00F300A6">
        <w:rPr>
          <w:rFonts w:cs="Tahoma"/>
          <w:sz w:val="22"/>
          <w:szCs w:val="22"/>
        </w:rPr>
        <w:t xml:space="preserve">da bo država </w:t>
      </w:r>
      <w:r w:rsidR="00B645AC">
        <w:rPr>
          <w:rFonts w:cs="Tahoma"/>
          <w:sz w:val="22"/>
          <w:szCs w:val="22"/>
        </w:rPr>
        <w:t xml:space="preserve">v letošnjem letu </w:t>
      </w:r>
      <w:r w:rsidR="00F300A6">
        <w:rPr>
          <w:rFonts w:cs="Tahoma"/>
          <w:sz w:val="22"/>
          <w:szCs w:val="22"/>
        </w:rPr>
        <w:t>prekršila javno-finančne zaveze.</w:t>
      </w:r>
      <w:bookmarkStart w:id="0" w:name="_GoBack"/>
      <w:bookmarkEnd w:id="0"/>
    </w:p>
    <w:p w:rsidR="00155A18" w:rsidRDefault="00155A18" w:rsidP="00155A18">
      <w:pPr>
        <w:jc w:val="both"/>
        <w:rPr>
          <w:rFonts w:cs="Tahoma"/>
        </w:rPr>
      </w:pPr>
    </w:p>
    <w:p w:rsidR="00B0385E" w:rsidRPr="00BB3DF2" w:rsidRDefault="00BB3DF2" w:rsidP="004F08A8">
      <w:pPr>
        <w:rPr>
          <w:rFonts w:cs="Tahoma"/>
        </w:rPr>
      </w:pPr>
      <w:r w:rsidRPr="00BB3DF2">
        <w:rPr>
          <w:rFonts w:cs="Tahoma"/>
        </w:rPr>
        <w:t xml:space="preserve"> </w:t>
      </w:r>
      <w:r w:rsidR="001722D4" w:rsidRPr="00BB3DF2">
        <w:rPr>
          <w:rFonts w:cs="Tahoma"/>
          <w:noProof/>
        </w:rPr>
        <w:drawing>
          <wp:inline distT="0" distB="0" distL="0" distR="0" wp14:anchorId="077606F8" wp14:editId="55F61935">
            <wp:extent cx="1682151" cy="51987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00" cy="53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85E" w:rsidRPr="00BB3DF2" w:rsidSect="00B0385E">
      <w:pgSz w:w="11906" w:h="16838"/>
      <w:pgMar w:top="899" w:right="1106" w:bottom="900" w:left="900" w:header="708" w:footer="708" w:gutter="0"/>
      <w:pgBorders w:offsetFrom="page">
        <w:top w:val="single" w:sz="4" w:space="24" w:color="5C141F"/>
        <w:left w:val="single" w:sz="4" w:space="24" w:color="5C141F"/>
        <w:bottom w:val="single" w:sz="4" w:space="24" w:color="5C141F"/>
        <w:right w:val="single" w:sz="4" w:space="24" w:color="5C141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A6" w:rsidRDefault="002B68A6">
      <w:r>
        <w:separator/>
      </w:r>
    </w:p>
  </w:endnote>
  <w:endnote w:type="continuationSeparator" w:id="0">
    <w:p w:rsidR="002B68A6" w:rsidRDefault="002B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A6" w:rsidRDefault="002B68A6">
      <w:r>
        <w:separator/>
      </w:r>
    </w:p>
  </w:footnote>
  <w:footnote w:type="continuationSeparator" w:id="0">
    <w:p w:rsidR="002B68A6" w:rsidRDefault="002B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6368"/>
    <w:multiLevelType w:val="hybridMultilevel"/>
    <w:tmpl w:val="A31E5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CA1"/>
    <w:multiLevelType w:val="hybridMultilevel"/>
    <w:tmpl w:val="32EA86A6"/>
    <w:lvl w:ilvl="0" w:tplc="2730C5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28D4"/>
    <w:multiLevelType w:val="hybridMultilevel"/>
    <w:tmpl w:val="11F407E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2EF10FC"/>
    <w:multiLevelType w:val="hybridMultilevel"/>
    <w:tmpl w:val="9C341F00"/>
    <w:lvl w:ilvl="0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50C0581"/>
    <w:multiLevelType w:val="hybridMultilevel"/>
    <w:tmpl w:val="9EA82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D4B44"/>
    <w:multiLevelType w:val="hybridMultilevel"/>
    <w:tmpl w:val="5F7216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D2D5A"/>
    <w:multiLevelType w:val="hybridMultilevel"/>
    <w:tmpl w:val="4010FF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6596A"/>
    <w:multiLevelType w:val="hybridMultilevel"/>
    <w:tmpl w:val="F460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C6488"/>
    <w:multiLevelType w:val="hybridMultilevel"/>
    <w:tmpl w:val="C60E7D74"/>
    <w:lvl w:ilvl="0" w:tplc="120ED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C0"/>
    <w:rsid w:val="00004F74"/>
    <w:rsid w:val="00010118"/>
    <w:rsid w:val="0001292A"/>
    <w:rsid w:val="000179F0"/>
    <w:rsid w:val="00017C70"/>
    <w:rsid w:val="0004298A"/>
    <w:rsid w:val="00073879"/>
    <w:rsid w:val="00075F45"/>
    <w:rsid w:val="0007798F"/>
    <w:rsid w:val="00087F84"/>
    <w:rsid w:val="000B1DCB"/>
    <w:rsid w:val="000C3489"/>
    <w:rsid w:val="000D5F2D"/>
    <w:rsid w:val="000E3519"/>
    <w:rsid w:val="000E38DF"/>
    <w:rsid w:val="000F0679"/>
    <w:rsid w:val="000F760C"/>
    <w:rsid w:val="00113FFA"/>
    <w:rsid w:val="00117B50"/>
    <w:rsid w:val="00122345"/>
    <w:rsid w:val="00126461"/>
    <w:rsid w:val="0013044A"/>
    <w:rsid w:val="00147D93"/>
    <w:rsid w:val="00155A18"/>
    <w:rsid w:val="00157098"/>
    <w:rsid w:val="00161D93"/>
    <w:rsid w:val="00165064"/>
    <w:rsid w:val="00166A19"/>
    <w:rsid w:val="00167D1A"/>
    <w:rsid w:val="001722D4"/>
    <w:rsid w:val="00175F68"/>
    <w:rsid w:val="001876AD"/>
    <w:rsid w:val="001A339D"/>
    <w:rsid w:val="001B061D"/>
    <w:rsid w:val="001C6A39"/>
    <w:rsid w:val="001F1171"/>
    <w:rsid w:val="00213ECE"/>
    <w:rsid w:val="00216667"/>
    <w:rsid w:val="002354DE"/>
    <w:rsid w:val="00236642"/>
    <w:rsid w:val="00274E94"/>
    <w:rsid w:val="0028048D"/>
    <w:rsid w:val="00294FD8"/>
    <w:rsid w:val="002A237B"/>
    <w:rsid w:val="002B68A6"/>
    <w:rsid w:val="002C48F8"/>
    <w:rsid w:val="002D3F30"/>
    <w:rsid w:val="002D6454"/>
    <w:rsid w:val="002E528E"/>
    <w:rsid w:val="002E542C"/>
    <w:rsid w:val="00310C89"/>
    <w:rsid w:val="00311763"/>
    <w:rsid w:val="00322678"/>
    <w:rsid w:val="0032731D"/>
    <w:rsid w:val="00333BB8"/>
    <w:rsid w:val="003359C7"/>
    <w:rsid w:val="00344A7C"/>
    <w:rsid w:val="003504C8"/>
    <w:rsid w:val="00357A71"/>
    <w:rsid w:val="0037077C"/>
    <w:rsid w:val="00373E9F"/>
    <w:rsid w:val="00380BD6"/>
    <w:rsid w:val="003A40FF"/>
    <w:rsid w:val="003B0B18"/>
    <w:rsid w:val="003B3D2E"/>
    <w:rsid w:val="003B72BF"/>
    <w:rsid w:val="003C0408"/>
    <w:rsid w:val="003C277E"/>
    <w:rsid w:val="003E000B"/>
    <w:rsid w:val="003E081A"/>
    <w:rsid w:val="003E4F96"/>
    <w:rsid w:val="003E60C8"/>
    <w:rsid w:val="003E7125"/>
    <w:rsid w:val="003F291A"/>
    <w:rsid w:val="00400289"/>
    <w:rsid w:val="00406585"/>
    <w:rsid w:val="00412273"/>
    <w:rsid w:val="00423CCB"/>
    <w:rsid w:val="00426FD6"/>
    <w:rsid w:val="00431F63"/>
    <w:rsid w:val="004370F3"/>
    <w:rsid w:val="00441580"/>
    <w:rsid w:val="00443D30"/>
    <w:rsid w:val="00450779"/>
    <w:rsid w:val="00455151"/>
    <w:rsid w:val="00460EAB"/>
    <w:rsid w:val="00475864"/>
    <w:rsid w:val="004A08AF"/>
    <w:rsid w:val="004C0EB4"/>
    <w:rsid w:val="004E51D6"/>
    <w:rsid w:val="004F08A8"/>
    <w:rsid w:val="004F5AE6"/>
    <w:rsid w:val="00502CF0"/>
    <w:rsid w:val="00502F11"/>
    <w:rsid w:val="00526B3A"/>
    <w:rsid w:val="0053342E"/>
    <w:rsid w:val="005664C2"/>
    <w:rsid w:val="005730E4"/>
    <w:rsid w:val="00577C82"/>
    <w:rsid w:val="005962E1"/>
    <w:rsid w:val="005A08B9"/>
    <w:rsid w:val="005B0EF4"/>
    <w:rsid w:val="005B2206"/>
    <w:rsid w:val="005B4D94"/>
    <w:rsid w:val="005B5E34"/>
    <w:rsid w:val="005D0757"/>
    <w:rsid w:val="005F245A"/>
    <w:rsid w:val="005F4533"/>
    <w:rsid w:val="00613AF9"/>
    <w:rsid w:val="00616AF9"/>
    <w:rsid w:val="00620428"/>
    <w:rsid w:val="00632897"/>
    <w:rsid w:val="006529C4"/>
    <w:rsid w:val="0066281D"/>
    <w:rsid w:val="00663C5F"/>
    <w:rsid w:val="00677609"/>
    <w:rsid w:val="006805CE"/>
    <w:rsid w:val="00695578"/>
    <w:rsid w:val="006A4A48"/>
    <w:rsid w:val="006A4B99"/>
    <w:rsid w:val="006C3A23"/>
    <w:rsid w:val="006C3F14"/>
    <w:rsid w:val="006C6B19"/>
    <w:rsid w:val="006D1D4E"/>
    <w:rsid w:val="006E496E"/>
    <w:rsid w:val="006F1F66"/>
    <w:rsid w:val="006F7FF6"/>
    <w:rsid w:val="00705950"/>
    <w:rsid w:val="00706D9A"/>
    <w:rsid w:val="00707017"/>
    <w:rsid w:val="00741971"/>
    <w:rsid w:val="00742437"/>
    <w:rsid w:val="007444C8"/>
    <w:rsid w:val="00757F91"/>
    <w:rsid w:val="00767D96"/>
    <w:rsid w:val="00771324"/>
    <w:rsid w:val="00771728"/>
    <w:rsid w:val="007724CC"/>
    <w:rsid w:val="007779BD"/>
    <w:rsid w:val="0078532D"/>
    <w:rsid w:val="007A224F"/>
    <w:rsid w:val="007A6798"/>
    <w:rsid w:val="007A7DE1"/>
    <w:rsid w:val="007B55C8"/>
    <w:rsid w:val="007C78F8"/>
    <w:rsid w:val="007D00D4"/>
    <w:rsid w:val="007D5FBE"/>
    <w:rsid w:val="007E18B0"/>
    <w:rsid w:val="007E3FE7"/>
    <w:rsid w:val="007F2270"/>
    <w:rsid w:val="007F6388"/>
    <w:rsid w:val="00803776"/>
    <w:rsid w:val="008059B9"/>
    <w:rsid w:val="00816CF9"/>
    <w:rsid w:val="00834884"/>
    <w:rsid w:val="008420C7"/>
    <w:rsid w:val="008467EA"/>
    <w:rsid w:val="00847582"/>
    <w:rsid w:val="008567A0"/>
    <w:rsid w:val="00866B16"/>
    <w:rsid w:val="00874B5B"/>
    <w:rsid w:val="00875D1A"/>
    <w:rsid w:val="008766EE"/>
    <w:rsid w:val="00895625"/>
    <w:rsid w:val="008A0DFE"/>
    <w:rsid w:val="008D3679"/>
    <w:rsid w:val="008D57F9"/>
    <w:rsid w:val="008F11FB"/>
    <w:rsid w:val="008F2450"/>
    <w:rsid w:val="00900388"/>
    <w:rsid w:val="00903A3C"/>
    <w:rsid w:val="00904E1A"/>
    <w:rsid w:val="0091124E"/>
    <w:rsid w:val="00922473"/>
    <w:rsid w:val="00935857"/>
    <w:rsid w:val="00936004"/>
    <w:rsid w:val="00937EF2"/>
    <w:rsid w:val="009467D0"/>
    <w:rsid w:val="00956E56"/>
    <w:rsid w:val="00965271"/>
    <w:rsid w:val="00975CE3"/>
    <w:rsid w:val="009815E0"/>
    <w:rsid w:val="00990047"/>
    <w:rsid w:val="009903C5"/>
    <w:rsid w:val="00993700"/>
    <w:rsid w:val="009A52FE"/>
    <w:rsid w:val="009B3D1A"/>
    <w:rsid w:val="009D3848"/>
    <w:rsid w:val="009E3F9F"/>
    <w:rsid w:val="009F3051"/>
    <w:rsid w:val="00A05B02"/>
    <w:rsid w:val="00A0633F"/>
    <w:rsid w:val="00A3191C"/>
    <w:rsid w:val="00A40BD7"/>
    <w:rsid w:val="00A50CEE"/>
    <w:rsid w:val="00A607C2"/>
    <w:rsid w:val="00A649B9"/>
    <w:rsid w:val="00A71BCF"/>
    <w:rsid w:val="00A72AEA"/>
    <w:rsid w:val="00A75B2D"/>
    <w:rsid w:val="00A77B1D"/>
    <w:rsid w:val="00A84F80"/>
    <w:rsid w:val="00A96DBA"/>
    <w:rsid w:val="00AB3CA9"/>
    <w:rsid w:val="00AB56D5"/>
    <w:rsid w:val="00AC7952"/>
    <w:rsid w:val="00AD1A80"/>
    <w:rsid w:val="00AD42B3"/>
    <w:rsid w:val="00AD66E1"/>
    <w:rsid w:val="00AD7BC0"/>
    <w:rsid w:val="00AE2724"/>
    <w:rsid w:val="00AE7CC6"/>
    <w:rsid w:val="00AF1A5A"/>
    <w:rsid w:val="00B0063B"/>
    <w:rsid w:val="00B01757"/>
    <w:rsid w:val="00B01BD5"/>
    <w:rsid w:val="00B01EBD"/>
    <w:rsid w:val="00B0385E"/>
    <w:rsid w:val="00B1197A"/>
    <w:rsid w:val="00B21A07"/>
    <w:rsid w:val="00B224E0"/>
    <w:rsid w:val="00B22964"/>
    <w:rsid w:val="00B35830"/>
    <w:rsid w:val="00B45DED"/>
    <w:rsid w:val="00B45F35"/>
    <w:rsid w:val="00B53084"/>
    <w:rsid w:val="00B530C8"/>
    <w:rsid w:val="00B645AC"/>
    <w:rsid w:val="00B80E26"/>
    <w:rsid w:val="00B857F1"/>
    <w:rsid w:val="00B9018E"/>
    <w:rsid w:val="00B926A8"/>
    <w:rsid w:val="00B93BB0"/>
    <w:rsid w:val="00BA59E0"/>
    <w:rsid w:val="00BB1720"/>
    <w:rsid w:val="00BB3DF2"/>
    <w:rsid w:val="00BB6B83"/>
    <w:rsid w:val="00BC188D"/>
    <w:rsid w:val="00BC4702"/>
    <w:rsid w:val="00BD7421"/>
    <w:rsid w:val="00BE5AA3"/>
    <w:rsid w:val="00C04227"/>
    <w:rsid w:val="00C15818"/>
    <w:rsid w:val="00C21898"/>
    <w:rsid w:val="00C278DA"/>
    <w:rsid w:val="00C350F1"/>
    <w:rsid w:val="00C62E70"/>
    <w:rsid w:val="00C65FF9"/>
    <w:rsid w:val="00C774BB"/>
    <w:rsid w:val="00C820A8"/>
    <w:rsid w:val="00C83380"/>
    <w:rsid w:val="00C92326"/>
    <w:rsid w:val="00C9343D"/>
    <w:rsid w:val="00CA7BC0"/>
    <w:rsid w:val="00CD1598"/>
    <w:rsid w:val="00CE1DDA"/>
    <w:rsid w:val="00CE26BE"/>
    <w:rsid w:val="00CE38EC"/>
    <w:rsid w:val="00CF2326"/>
    <w:rsid w:val="00CF7DAB"/>
    <w:rsid w:val="00D01807"/>
    <w:rsid w:val="00D144D0"/>
    <w:rsid w:val="00D254C9"/>
    <w:rsid w:val="00D275F4"/>
    <w:rsid w:val="00D40F25"/>
    <w:rsid w:val="00D50DC9"/>
    <w:rsid w:val="00D622F9"/>
    <w:rsid w:val="00D67439"/>
    <w:rsid w:val="00D768FF"/>
    <w:rsid w:val="00D77DC7"/>
    <w:rsid w:val="00D83247"/>
    <w:rsid w:val="00D90A83"/>
    <w:rsid w:val="00DC0B59"/>
    <w:rsid w:val="00DD67CE"/>
    <w:rsid w:val="00DF2A5F"/>
    <w:rsid w:val="00DF36BD"/>
    <w:rsid w:val="00DF4212"/>
    <w:rsid w:val="00DF4F62"/>
    <w:rsid w:val="00E003DC"/>
    <w:rsid w:val="00E01BB6"/>
    <w:rsid w:val="00E06FD9"/>
    <w:rsid w:val="00E14188"/>
    <w:rsid w:val="00E31654"/>
    <w:rsid w:val="00E41B7A"/>
    <w:rsid w:val="00E522AE"/>
    <w:rsid w:val="00E5542B"/>
    <w:rsid w:val="00E63509"/>
    <w:rsid w:val="00E66D70"/>
    <w:rsid w:val="00E92FDB"/>
    <w:rsid w:val="00EA0CE6"/>
    <w:rsid w:val="00EA1E83"/>
    <w:rsid w:val="00EC1840"/>
    <w:rsid w:val="00EC1892"/>
    <w:rsid w:val="00EC57C5"/>
    <w:rsid w:val="00EE1002"/>
    <w:rsid w:val="00EE7F99"/>
    <w:rsid w:val="00EF6C08"/>
    <w:rsid w:val="00F03DB5"/>
    <w:rsid w:val="00F2223B"/>
    <w:rsid w:val="00F300A6"/>
    <w:rsid w:val="00F31968"/>
    <w:rsid w:val="00F42398"/>
    <w:rsid w:val="00F462DF"/>
    <w:rsid w:val="00F46B2B"/>
    <w:rsid w:val="00F47EEA"/>
    <w:rsid w:val="00F53117"/>
    <w:rsid w:val="00F56533"/>
    <w:rsid w:val="00F66334"/>
    <w:rsid w:val="00F70906"/>
    <w:rsid w:val="00F93936"/>
    <w:rsid w:val="00FA06E1"/>
    <w:rsid w:val="00FA73D0"/>
    <w:rsid w:val="00FB3CAF"/>
    <w:rsid w:val="00FC0670"/>
    <w:rsid w:val="00FC23CC"/>
    <w:rsid w:val="00FC3A57"/>
    <w:rsid w:val="00FE56A9"/>
    <w:rsid w:val="00FF00FA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DC2784-EE7A-438E-860F-ED0D16B7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0757"/>
    <w:pPr>
      <w:spacing w:after="90"/>
    </w:pPr>
    <w:rPr>
      <w:rFonts w:ascii="Tahoma" w:hAnsi="Tahoma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5D0757"/>
    <w:pPr>
      <w:spacing w:before="360" w:after="270"/>
      <w:outlineLvl w:val="0"/>
    </w:pPr>
    <w:rPr>
      <w:rFonts w:cs="Tahoma"/>
      <w:b/>
      <w:color w:val="99CC00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E69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Glava">
    <w:name w:val="header"/>
    <w:basedOn w:val="Navaden"/>
    <w:link w:val="GlavaZnak"/>
    <w:uiPriority w:val="99"/>
    <w:rsid w:val="00C774BB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E694D"/>
    <w:rPr>
      <w:rFonts w:ascii="Tahoma" w:hAnsi="Tahoma"/>
      <w:sz w:val="24"/>
      <w:szCs w:val="24"/>
    </w:rPr>
  </w:style>
  <w:style w:type="paragraph" w:styleId="Noga">
    <w:name w:val="footer"/>
    <w:basedOn w:val="Navaden"/>
    <w:link w:val="NogaZnak"/>
    <w:uiPriority w:val="99"/>
    <w:rsid w:val="00C774BB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8E694D"/>
    <w:rPr>
      <w:rFonts w:ascii="Tahoma" w:hAnsi="Tahoma"/>
      <w:sz w:val="24"/>
      <w:szCs w:val="24"/>
    </w:rPr>
  </w:style>
  <w:style w:type="character" w:styleId="tevilkastrani">
    <w:name w:val="page number"/>
    <w:basedOn w:val="Privzetapisavaodstavka"/>
    <w:uiPriority w:val="99"/>
    <w:rsid w:val="00C774BB"/>
    <w:rPr>
      <w:rFonts w:cs="Times New Roman"/>
    </w:rPr>
  </w:style>
  <w:style w:type="paragraph" w:styleId="Navadensplet">
    <w:name w:val="Normal (Web)"/>
    <w:basedOn w:val="Navaden"/>
    <w:uiPriority w:val="99"/>
    <w:rsid w:val="00C774BB"/>
    <w:pPr>
      <w:spacing w:after="258" w:line="258" w:lineRule="atLeast"/>
      <w:jc w:val="both"/>
    </w:pPr>
    <w:rPr>
      <w:sz w:val="20"/>
      <w:szCs w:val="20"/>
    </w:rPr>
  </w:style>
  <w:style w:type="table" w:styleId="Tabelamrea">
    <w:name w:val="Table Grid"/>
    <w:basedOn w:val="Navadnatabela"/>
    <w:uiPriority w:val="99"/>
    <w:rsid w:val="00D90A83"/>
    <w:pPr>
      <w:spacing w:after="9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uiPriority w:val="99"/>
    <w:rsid w:val="006F1F66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/>
      <w:color w:val="000000"/>
      <w:lang w:val="en-GB"/>
    </w:rPr>
  </w:style>
  <w:style w:type="character" w:customStyle="1" w:styleId="TAJDAPELICON">
    <w:name w:val="TAJDA PELICON"/>
    <w:uiPriority w:val="99"/>
    <w:semiHidden/>
    <w:rsid w:val="00A649B9"/>
    <w:rPr>
      <w:rFonts w:ascii="Arial" w:hAnsi="Arial"/>
      <w:color w:val="000080"/>
      <w:sz w:val="20"/>
    </w:rPr>
  </w:style>
  <w:style w:type="character" w:styleId="Hiperpovezava">
    <w:name w:val="Hyperlink"/>
    <w:basedOn w:val="Privzetapisavaodstavka"/>
    <w:uiPriority w:val="99"/>
    <w:rsid w:val="00B926A8"/>
    <w:rPr>
      <w:rFonts w:cs="Times New Roman"/>
      <w:color w:val="0000FF"/>
      <w:u w:val="single"/>
    </w:rPr>
  </w:style>
  <w:style w:type="character" w:customStyle="1" w:styleId="st">
    <w:name w:val="st"/>
    <w:basedOn w:val="Privzetapisavaodstavka"/>
    <w:uiPriority w:val="99"/>
    <w:rsid w:val="00771324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771324"/>
    <w:rPr>
      <w:rFonts w:cs="Times New Roman"/>
      <w:i/>
    </w:rPr>
  </w:style>
  <w:style w:type="paragraph" w:styleId="Golobesedilo">
    <w:name w:val="Plain Text"/>
    <w:basedOn w:val="Navaden"/>
    <w:link w:val="GolobesediloZnak"/>
    <w:uiPriority w:val="99"/>
    <w:rsid w:val="00956E56"/>
    <w:pPr>
      <w:spacing w:after="0"/>
    </w:pPr>
    <w:rPr>
      <w:rFonts w:ascii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locked/>
    <w:rsid w:val="00956E56"/>
    <w:rPr>
      <w:rFonts w:ascii="Calibri" w:eastAsia="Times New Roman" w:hAnsi="Calibri" w:cs="Times New Roman"/>
      <w:sz w:val="21"/>
      <w:szCs w:val="21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5F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5F35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923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232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2326"/>
    <w:rPr>
      <w:rFonts w:ascii="Tahoma" w:hAnsi="Tahom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23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2326"/>
    <w:rPr>
      <w:rFonts w:ascii="Tahoma" w:hAnsi="Tahoma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56533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table" w:styleId="Navadnatabela1">
    <w:name w:val="Plain Table 1"/>
    <w:basedOn w:val="Navadnatabela"/>
    <w:uiPriority w:val="41"/>
    <w:rsid w:val="00AE27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Privzetapisavaodstavka"/>
    <w:rsid w:val="007444C8"/>
  </w:style>
  <w:style w:type="character" w:styleId="Krepko">
    <w:name w:val="Strong"/>
    <w:basedOn w:val="Privzetapisavaodstavka"/>
    <w:uiPriority w:val="22"/>
    <w:qFormat/>
    <w:locked/>
    <w:rsid w:val="003B3D2E"/>
    <w:rPr>
      <w:b/>
      <w:bCs/>
    </w:rPr>
  </w:style>
  <w:style w:type="character" w:customStyle="1" w:styleId="lexitem">
    <w:name w:val="lexitem"/>
    <w:basedOn w:val="Privzetapisavaodstavka"/>
    <w:rsid w:val="00B1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9507">
              <w:marLeft w:val="0"/>
              <w:marRight w:val="0"/>
              <w:marTop w:val="111"/>
              <w:marBottom w:val="0"/>
              <w:divBdr>
                <w:top w:val="single" w:sz="6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B2356F-C2A6-4911-9339-99A7139C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Gospodarska Zbornica Slovenije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Tajda Pelicon</cp:lastModifiedBy>
  <cp:revision>3</cp:revision>
  <cp:lastPrinted>2016-02-04T14:34:00Z</cp:lastPrinted>
  <dcterms:created xsi:type="dcterms:W3CDTF">2016-05-31T09:55:00Z</dcterms:created>
  <dcterms:modified xsi:type="dcterms:W3CDTF">2016-05-31T09:59:00Z</dcterms:modified>
</cp:coreProperties>
</file>