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56" w:rsidRPr="00BD2EC0" w:rsidRDefault="00E05E56" w:rsidP="007B61FD">
      <w:pPr>
        <w:rPr>
          <w:rFonts w:cs="Tahoma"/>
        </w:rPr>
      </w:pPr>
    </w:p>
    <w:p w:rsidR="004E7721" w:rsidRPr="00BD2EC0" w:rsidRDefault="004E7721" w:rsidP="007B61FD">
      <w:pPr>
        <w:rPr>
          <w:rFonts w:cs="Tahoma"/>
        </w:rPr>
      </w:pPr>
    </w:p>
    <w:p w:rsidR="004E7721" w:rsidRPr="00BD2EC0" w:rsidRDefault="00BD2EC0" w:rsidP="004E7721">
      <w:pPr>
        <w:spacing w:line="276" w:lineRule="auto"/>
        <w:rPr>
          <w:rFonts w:ascii="Tahoma" w:hAnsi="Tahoma" w:cs="Tahoma"/>
        </w:rPr>
      </w:pPr>
      <w:r w:rsidRPr="00BD2EC0">
        <w:rPr>
          <w:rFonts w:ascii="Tahoma" w:hAnsi="Tahoma" w:cs="Tahoma"/>
        </w:rPr>
        <w:t>Sporočilo za javnost</w:t>
      </w:r>
    </w:p>
    <w:p w:rsidR="004E7721" w:rsidRDefault="004E7721" w:rsidP="004E7721">
      <w:pPr>
        <w:spacing w:line="276" w:lineRule="auto"/>
        <w:rPr>
          <w:rFonts w:ascii="Tahoma" w:hAnsi="Tahoma" w:cs="Tahoma"/>
        </w:rPr>
      </w:pPr>
    </w:p>
    <w:p w:rsidR="00B87C01" w:rsidRPr="00BD2EC0" w:rsidRDefault="00B87C01" w:rsidP="00B87C01">
      <w:pPr>
        <w:spacing w:line="276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Ljubljana, 18. januar 2018</w:t>
      </w:r>
    </w:p>
    <w:p w:rsidR="005324FA" w:rsidRDefault="005324FA" w:rsidP="004E7721">
      <w:pPr>
        <w:spacing w:line="276" w:lineRule="auto"/>
        <w:jc w:val="both"/>
        <w:rPr>
          <w:rFonts w:ascii="Tahoma" w:hAnsi="Tahoma" w:cs="Tahoma"/>
          <w:b/>
          <w:sz w:val="28"/>
          <w:szCs w:val="28"/>
        </w:rPr>
      </w:pPr>
    </w:p>
    <w:p w:rsidR="004E7721" w:rsidRDefault="000C2768" w:rsidP="004E7721">
      <w:pPr>
        <w:spacing w:line="276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</w:t>
      </w:r>
      <w:r w:rsidR="005324FA">
        <w:rPr>
          <w:rFonts w:ascii="Tahoma" w:hAnsi="Tahoma" w:cs="Tahoma"/>
          <w:b/>
          <w:sz w:val="28"/>
          <w:szCs w:val="28"/>
        </w:rPr>
        <w:t xml:space="preserve">vig minimalne plače </w:t>
      </w:r>
      <w:r>
        <w:rPr>
          <w:rFonts w:ascii="Tahoma" w:hAnsi="Tahoma" w:cs="Tahoma"/>
          <w:b/>
          <w:sz w:val="28"/>
          <w:szCs w:val="28"/>
        </w:rPr>
        <w:t xml:space="preserve">da, a sorazmeren  </w:t>
      </w:r>
    </w:p>
    <w:p w:rsidR="000C2768" w:rsidRPr="00BD2EC0" w:rsidRDefault="000C2768" w:rsidP="004E7721">
      <w:pPr>
        <w:spacing w:line="276" w:lineRule="auto"/>
        <w:jc w:val="both"/>
        <w:rPr>
          <w:rFonts w:ascii="Tahoma" w:hAnsi="Tahoma" w:cs="Tahoma"/>
        </w:rPr>
      </w:pPr>
    </w:p>
    <w:p w:rsidR="004E7721" w:rsidRPr="00BD2EC0" w:rsidRDefault="00BD2EC0" w:rsidP="004E7721">
      <w:pPr>
        <w:spacing w:line="276" w:lineRule="auto"/>
        <w:jc w:val="both"/>
        <w:rPr>
          <w:rFonts w:ascii="Tahoma" w:hAnsi="Tahoma" w:cs="Tahoma"/>
          <w:b/>
        </w:rPr>
      </w:pPr>
      <w:r w:rsidRPr="00BD2EC0">
        <w:rPr>
          <w:rFonts w:ascii="Tahoma" w:hAnsi="Tahoma" w:cs="Tahoma"/>
          <w:b/>
        </w:rPr>
        <w:t>N</w:t>
      </w:r>
      <w:r w:rsidR="004E7721" w:rsidRPr="00BD2EC0">
        <w:rPr>
          <w:rFonts w:ascii="Tahoma" w:hAnsi="Tahoma" w:cs="Tahoma"/>
          <w:b/>
        </w:rPr>
        <w:t>esorazmeren dvig minimalne plače, k</w:t>
      </w:r>
      <w:r w:rsidR="001361A7">
        <w:rPr>
          <w:rFonts w:ascii="Tahoma" w:hAnsi="Tahoma" w:cs="Tahoma"/>
          <w:b/>
        </w:rPr>
        <w:t>ot izhaja iz predloga MDDSZ</w:t>
      </w:r>
      <w:r w:rsidR="00093334">
        <w:rPr>
          <w:rFonts w:ascii="Tahoma" w:hAnsi="Tahoma" w:cs="Tahoma"/>
          <w:b/>
        </w:rPr>
        <w:t>,</w:t>
      </w:r>
      <w:r w:rsidR="004E7721" w:rsidRPr="00BD2EC0">
        <w:rPr>
          <w:rFonts w:ascii="Tahoma" w:hAnsi="Tahoma" w:cs="Tahoma"/>
          <w:b/>
        </w:rPr>
        <w:t xml:space="preserve"> je brez r</w:t>
      </w:r>
      <w:r w:rsidR="001361A7">
        <w:rPr>
          <w:rFonts w:ascii="Tahoma" w:hAnsi="Tahoma" w:cs="Tahoma"/>
          <w:b/>
        </w:rPr>
        <w:t xml:space="preserve">acionalne ekonomske utemeljitve in ne </w:t>
      </w:r>
      <w:r w:rsidR="004E7721" w:rsidRPr="00BD2EC0">
        <w:rPr>
          <w:rFonts w:ascii="Tahoma" w:hAnsi="Tahoma" w:cs="Tahoma"/>
          <w:b/>
        </w:rPr>
        <w:t xml:space="preserve">bi koristil gospodarstvu, srednjeročno pa tudi ne zaposlenim in državi. </w:t>
      </w:r>
      <w:r w:rsidR="001361A7">
        <w:rPr>
          <w:rFonts w:ascii="Tahoma" w:hAnsi="Tahoma" w:cs="Tahoma"/>
          <w:b/>
        </w:rPr>
        <w:t>A</w:t>
      </w:r>
      <w:r w:rsidR="004E7721" w:rsidRPr="00BD2EC0">
        <w:rPr>
          <w:rFonts w:ascii="Tahoma" w:hAnsi="Tahoma" w:cs="Tahoma"/>
          <w:b/>
        </w:rPr>
        <w:t xml:space="preserve">peliramo, da v okviru socialnega dialoga zagotovimo pogoje, ki bodo vzdržni in razvojno naravnani, tako preko minimalne plače kot tudi sistemsko potrebnih sprememb na področju trga dela. </w:t>
      </w:r>
    </w:p>
    <w:p w:rsidR="00BD2EC0" w:rsidRDefault="00BD2EC0" w:rsidP="00BD2EC0">
      <w:pPr>
        <w:spacing w:line="276" w:lineRule="auto"/>
        <w:jc w:val="both"/>
        <w:rPr>
          <w:rFonts w:ascii="Tahoma" w:hAnsi="Tahoma" w:cs="Tahoma"/>
        </w:rPr>
      </w:pPr>
    </w:p>
    <w:p w:rsidR="00CA4C39" w:rsidRDefault="00CA4C39" w:rsidP="00CA4C39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C72C5D">
        <w:rPr>
          <w:rFonts w:ascii="Tahoma" w:hAnsi="Tahoma" w:cs="Tahoma"/>
        </w:rPr>
        <w:t>a Gospodarski zbornici Slovenije si kot aktiven partner v socialnem dialogu prizadevamo za izboljšanje življenjskega standarda državljanov Slovenije</w:t>
      </w:r>
      <w:r>
        <w:rPr>
          <w:rFonts w:ascii="Tahoma" w:hAnsi="Tahoma" w:cs="Tahoma"/>
        </w:rPr>
        <w:t>. To je mogoče zagotoviti le preko vitalnega gospodarstva.</w:t>
      </w:r>
      <w:r w:rsidRPr="00C72C5D">
        <w:rPr>
          <w:rFonts w:ascii="Tahoma" w:hAnsi="Tahoma" w:cs="Tahoma"/>
        </w:rPr>
        <w:t xml:space="preserve"> Zavedamo se, da je eden izmed najpomembnejših motivatorjev primerno in pošteno plačilo za opravljeno delo. </w:t>
      </w:r>
      <w:r>
        <w:rPr>
          <w:rFonts w:ascii="Tahoma" w:hAnsi="Tahoma" w:cs="Tahoma"/>
        </w:rPr>
        <w:t xml:space="preserve">Oceno primernosti plačila pa oblikuje trg. Slovenija </w:t>
      </w:r>
      <w:r w:rsidR="00514FF8">
        <w:rPr>
          <w:rFonts w:ascii="Tahoma" w:hAnsi="Tahoma" w:cs="Tahoma"/>
        </w:rPr>
        <w:t xml:space="preserve">je kot 70-odstotna izvoznica </w:t>
      </w:r>
      <w:r>
        <w:rPr>
          <w:rFonts w:ascii="Tahoma" w:hAnsi="Tahoma" w:cs="Tahoma"/>
        </w:rPr>
        <w:t xml:space="preserve">s svojim gospodarstvom močno vpeta v mednarodne tokove, zato je </w:t>
      </w:r>
      <w:r w:rsidRPr="00CA4C39">
        <w:rPr>
          <w:rFonts w:ascii="Tahoma" w:hAnsi="Tahoma" w:cs="Tahoma"/>
        </w:rPr>
        <w:t>življenjsko odvisna od svoje konkurenčnosti</w:t>
      </w:r>
      <w:r>
        <w:rPr>
          <w:rFonts w:ascii="Tahoma" w:hAnsi="Tahoma" w:cs="Tahoma"/>
        </w:rPr>
        <w:t>. Vsaka sprememba na bolje utrjuje položaj gospodarstva in posledično povečuje varnost in kakovost življenja v Sloveniji. In obratno - elementi, p</w:t>
      </w:r>
      <w:r w:rsidR="00514FF8">
        <w:rPr>
          <w:rFonts w:ascii="Tahoma" w:hAnsi="Tahoma" w:cs="Tahoma"/>
        </w:rPr>
        <w:t>ri</w:t>
      </w:r>
      <w:r>
        <w:rPr>
          <w:rFonts w:ascii="Tahoma" w:hAnsi="Tahoma" w:cs="Tahoma"/>
        </w:rPr>
        <w:t xml:space="preserve"> katerih negativno odstopamo od evropskega povprečja, se neposredno odražajo </w:t>
      </w:r>
      <w:r w:rsidR="00514FF8">
        <w:rPr>
          <w:rFonts w:ascii="Tahoma" w:hAnsi="Tahoma" w:cs="Tahoma"/>
        </w:rPr>
        <w:t>v manjši konkurenčnosti in nižji kakovosti življenja</w:t>
      </w:r>
      <w:r>
        <w:rPr>
          <w:rFonts w:ascii="Tahoma" w:hAnsi="Tahoma" w:cs="Tahoma"/>
        </w:rPr>
        <w:t>. Minimalna plača je eden od elementov v mozaiku konkurenčnosti.</w:t>
      </w:r>
    </w:p>
    <w:p w:rsidR="00BD2EC0" w:rsidRPr="00BD2EC0" w:rsidRDefault="00BD2EC0" w:rsidP="00BD2EC0">
      <w:pPr>
        <w:spacing w:line="276" w:lineRule="auto"/>
        <w:rPr>
          <w:rFonts w:ascii="Tahoma" w:hAnsi="Tahoma" w:cs="Tahoma"/>
        </w:rPr>
      </w:pPr>
      <w:r w:rsidRPr="00BD2EC0">
        <w:rPr>
          <w:rFonts w:ascii="Tahoma" w:hAnsi="Tahoma" w:cs="Tahoma"/>
        </w:rPr>
        <w:t>V tem trenutku ni nobene potrebe po visokem dvigu minimalne plače, saj trg delu</w:t>
      </w:r>
      <w:r w:rsidR="00514FF8">
        <w:rPr>
          <w:rFonts w:ascii="Tahoma" w:hAnsi="Tahoma" w:cs="Tahoma"/>
        </w:rPr>
        <w:t>je</w:t>
      </w:r>
      <w:r w:rsidRPr="00BD2EC0">
        <w:rPr>
          <w:rFonts w:ascii="Tahoma" w:hAnsi="Tahoma" w:cs="Tahoma"/>
        </w:rPr>
        <w:t xml:space="preserve"> - povprečne plače rastejo (lani 2,</w:t>
      </w:r>
      <w:r w:rsidR="00514FF8">
        <w:rPr>
          <w:rFonts w:ascii="Tahoma" w:hAnsi="Tahoma" w:cs="Tahoma"/>
        </w:rPr>
        <w:t>6</w:t>
      </w:r>
      <w:r w:rsidRPr="00BD2EC0">
        <w:rPr>
          <w:rFonts w:ascii="Tahoma" w:hAnsi="Tahoma" w:cs="Tahoma"/>
        </w:rPr>
        <w:t xml:space="preserve">%, ocena za letos je 3,6%), zaposlenost se povečuje, delež zaposlenih z minimalno plačo pada (lani za 15%). </w:t>
      </w:r>
    </w:p>
    <w:p w:rsidR="00E12DD4" w:rsidRDefault="00BD2EC0" w:rsidP="00BD2EC0">
      <w:pPr>
        <w:spacing w:line="276" w:lineRule="auto"/>
        <w:rPr>
          <w:rFonts w:ascii="Tahoma" w:hAnsi="Tahoma" w:cs="Tahoma"/>
        </w:rPr>
      </w:pPr>
      <w:r w:rsidRPr="00BD2EC0">
        <w:rPr>
          <w:rFonts w:ascii="Tahoma" w:hAnsi="Tahoma" w:cs="Tahoma"/>
        </w:rPr>
        <w:t xml:space="preserve">Nesorazmeren dvig minimalne plače lahko ob trenutnih sindikalnih zahtevah povzroči stampedo, saj je treba v podjetjih ohranjati plačna razmerja. To lahko zaustavi pozitivne gospodarske trende. </w:t>
      </w:r>
    </w:p>
    <w:p w:rsidR="00FF00AF" w:rsidRDefault="00BD2EC0" w:rsidP="00BD2EC0">
      <w:pPr>
        <w:spacing w:line="276" w:lineRule="auto"/>
        <w:rPr>
          <w:rFonts w:ascii="Tahoma" w:hAnsi="Tahoma" w:cs="Tahoma"/>
        </w:rPr>
      </w:pPr>
      <w:r w:rsidRPr="00BD2EC0">
        <w:rPr>
          <w:rFonts w:ascii="Tahoma" w:hAnsi="Tahoma" w:cs="Tahoma"/>
        </w:rPr>
        <w:t xml:space="preserve">V strukturi stroškov je v Sloveniji delež plač glede na mednarodno konkurenco previsok in ga moramo postopno zniževati – ne preko zniževanja plač, temveč njihove zmerne rasti ob hitrejši rasti produktivnosti. </w:t>
      </w:r>
    </w:p>
    <w:p w:rsidR="00BD2EC0" w:rsidRDefault="00BD2EC0" w:rsidP="00BD2EC0">
      <w:pPr>
        <w:spacing w:line="276" w:lineRule="auto"/>
        <w:rPr>
          <w:rFonts w:ascii="Tahoma" w:hAnsi="Tahoma" w:cs="Tahoma"/>
        </w:rPr>
      </w:pPr>
      <w:r w:rsidRPr="00BD2EC0">
        <w:rPr>
          <w:rFonts w:ascii="Tahoma" w:hAnsi="Tahoma" w:cs="Tahoma"/>
        </w:rPr>
        <w:lastRenderedPageBreak/>
        <w:t xml:space="preserve">Pozivamo </w:t>
      </w:r>
      <w:r w:rsidR="00514FF8">
        <w:rPr>
          <w:rFonts w:ascii="Tahoma" w:hAnsi="Tahoma" w:cs="Tahoma"/>
        </w:rPr>
        <w:t>k</w:t>
      </w:r>
      <w:r w:rsidRPr="00BD2EC0">
        <w:rPr>
          <w:rFonts w:ascii="Tahoma" w:hAnsi="Tahoma" w:cs="Tahoma"/>
        </w:rPr>
        <w:t xml:space="preserve"> omejevanju apetitov po dvigu plač. Do tega bo prišlo </w:t>
      </w:r>
      <w:r w:rsidR="00514FF8">
        <w:rPr>
          <w:rFonts w:ascii="Tahoma" w:hAnsi="Tahoma" w:cs="Tahoma"/>
        </w:rPr>
        <w:t>po naravni poti</w:t>
      </w:r>
      <w:r w:rsidRPr="00BD2EC0">
        <w:rPr>
          <w:rFonts w:ascii="Tahoma" w:hAnsi="Tahoma" w:cs="Tahoma"/>
        </w:rPr>
        <w:t xml:space="preserve"> zaradi manjka kadra in rasti produktivnosti. Administrativni posegi lahko to </w:t>
      </w:r>
      <w:r w:rsidR="00BE5D56">
        <w:rPr>
          <w:rFonts w:ascii="Tahoma" w:hAnsi="Tahoma" w:cs="Tahoma"/>
        </w:rPr>
        <w:t xml:space="preserve">le </w:t>
      </w:r>
      <w:r w:rsidRPr="00BD2EC0">
        <w:rPr>
          <w:rFonts w:ascii="Tahoma" w:hAnsi="Tahoma" w:cs="Tahoma"/>
        </w:rPr>
        <w:t>zavrejo.</w:t>
      </w:r>
    </w:p>
    <w:p w:rsidR="00C71500" w:rsidRDefault="00C71500" w:rsidP="00BD2EC0">
      <w:pPr>
        <w:spacing w:line="276" w:lineRule="auto"/>
        <w:rPr>
          <w:rFonts w:ascii="Tahoma" w:hAnsi="Tahoma" w:cs="Tahoma"/>
        </w:rPr>
      </w:pPr>
    </w:p>
    <w:p w:rsidR="000C2768" w:rsidRPr="000C2768" w:rsidRDefault="000C2768" w:rsidP="000C2768">
      <w:pPr>
        <w:pStyle w:val="Golobesedilo"/>
        <w:rPr>
          <w:rFonts w:ascii="Tahoma" w:hAnsi="Tahoma" w:cs="Tahoma"/>
          <w:b/>
        </w:rPr>
      </w:pPr>
      <w:r w:rsidRPr="000C2768">
        <w:rPr>
          <w:rFonts w:ascii="Tahoma" w:hAnsi="Tahoma" w:cs="Tahoma"/>
          <w:b/>
        </w:rPr>
        <w:t xml:space="preserve">Predlagan skok za 4,7 % pri minimalni plači, kot ga je predlagal MDDSZ, bistveno odstopa od dosedanjega usklajevanja z inflacijo. Ta je lani znašala 1,7 %, kar je povsem </w:t>
      </w:r>
      <w:r w:rsidR="00514FF8">
        <w:rPr>
          <w:rFonts w:ascii="Tahoma" w:hAnsi="Tahoma" w:cs="Tahoma"/>
          <w:b/>
        </w:rPr>
        <w:t>razumljiv dvig minimalne plače.</w:t>
      </w:r>
      <w:r w:rsidRPr="000C2768">
        <w:rPr>
          <w:rFonts w:ascii="Tahoma" w:hAnsi="Tahoma" w:cs="Tahoma"/>
          <w:b/>
        </w:rPr>
        <w:t xml:space="preserve"> Tak dvig, ki ohranja realno vrednost minimalne plače, bi podprli tudi na GZS. </w:t>
      </w:r>
    </w:p>
    <w:p w:rsidR="00C71500" w:rsidRDefault="00C71500" w:rsidP="00BD2EC0">
      <w:pPr>
        <w:spacing w:line="276" w:lineRule="auto"/>
        <w:rPr>
          <w:rFonts w:ascii="Tahoma" w:hAnsi="Tahoma" w:cs="Tahoma"/>
        </w:rPr>
      </w:pPr>
    </w:p>
    <w:p w:rsidR="00C71500" w:rsidRDefault="00C71500" w:rsidP="00BD2EC0">
      <w:pPr>
        <w:spacing w:line="276" w:lineRule="auto"/>
        <w:rPr>
          <w:rFonts w:ascii="Tahoma" w:hAnsi="Tahoma" w:cs="Tahoma"/>
        </w:rPr>
      </w:pPr>
      <w:bookmarkStart w:id="0" w:name="_GoBack"/>
      <w:bookmarkEnd w:id="0"/>
    </w:p>
    <w:p w:rsidR="00C71500" w:rsidRDefault="00C71500" w:rsidP="00BD2EC0">
      <w:pPr>
        <w:spacing w:line="276" w:lineRule="auto"/>
        <w:rPr>
          <w:rFonts w:ascii="Tahoma" w:hAnsi="Tahoma" w:cs="Tahoma"/>
        </w:rPr>
      </w:pPr>
    </w:p>
    <w:p w:rsidR="00C71500" w:rsidRDefault="00C71500" w:rsidP="00BD2EC0">
      <w:pPr>
        <w:spacing w:line="276" w:lineRule="auto"/>
        <w:rPr>
          <w:rFonts w:ascii="Tahoma" w:hAnsi="Tahoma" w:cs="Tahoma"/>
        </w:rPr>
      </w:pPr>
    </w:p>
    <w:p w:rsidR="004E7721" w:rsidRPr="00B87C01" w:rsidRDefault="00B87C01" w:rsidP="00B87C01">
      <w:pPr>
        <w:shd w:val="clear" w:color="auto" w:fill="DEEAF6" w:themeFill="accent1" w:themeFillTint="33"/>
        <w:spacing w:line="276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DEJSTVA</w:t>
      </w:r>
    </w:p>
    <w:p w:rsidR="004E7721" w:rsidRPr="00B87C01" w:rsidRDefault="004E7721" w:rsidP="00B87C01">
      <w:pPr>
        <w:pStyle w:val="Golobesedilo"/>
        <w:numPr>
          <w:ilvl w:val="0"/>
          <w:numId w:val="17"/>
        </w:numPr>
        <w:shd w:val="clear" w:color="auto" w:fill="DEEAF6" w:themeFill="accent1" w:themeFillTint="33"/>
        <w:spacing w:before="160" w:line="276" w:lineRule="auto"/>
        <w:ind w:left="360"/>
        <w:rPr>
          <w:rFonts w:ascii="Tahoma" w:hAnsi="Tahoma" w:cs="Tahoma"/>
          <w:sz w:val="20"/>
        </w:rPr>
      </w:pPr>
      <w:r w:rsidRPr="00B87C01">
        <w:rPr>
          <w:rFonts w:ascii="Tahoma" w:hAnsi="Tahoma" w:cs="Tahoma"/>
          <w:b/>
          <w:sz w:val="20"/>
        </w:rPr>
        <w:t>Neto prejemek pri minimalni plači</w:t>
      </w:r>
      <w:r w:rsidRPr="00B87C01">
        <w:rPr>
          <w:rFonts w:ascii="Tahoma" w:hAnsi="Tahoma" w:cs="Tahoma"/>
          <w:sz w:val="20"/>
        </w:rPr>
        <w:t xml:space="preserve"> znaša 840 EUR mesečno ter vključuje poleg minimalne plače še nadomestilo za prevoz in malico ter minimalni regres, ki je zakonsko obvezen. To je </w:t>
      </w:r>
      <w:r w:rsidRPr="00B87C01">
        <w:rPr>
          <w:rFonts w:ascii="Tahoma" w:hAnsi="Tahoma" w:cs="Tahoma"/>
          <w:sz w:val="20"/>
          <w:u w:val="single"/>
        </w:rPr>
        <w:t>37 % nad pragom revščine in 23 % nad minimalnimi življenjskimi stroški.</w:t>
      </w:r>
      <w:r w:rsidRPr="00B87C01">
        <w:rPr>
          <w:rFonts w:ascii="Tahoma" w:hAnsi="Tahoma" w:cs="Tahoma"/>
          <w:sz w:val="20"/>
        </w:rPr>
        <w:t xml:space="preserve"> </w:t>
      </w:r>
      <w:r w:rsidR="001361A7">
        <w:rPr>
          <w:rFonts w:ascii="Tahoma" w:hAnsi="Tahoma" w:cs="Tahoma"/>
          <w:sz w:val="20"/>
        </w:rPr>
        <w:br/>
      </w:r>
      <w:r w:rsidR="001361A7" w:rsidRPr="00B87C01">
        <w:rPr>
          <w:rFonts w:ascii="Tahoma" w:hAnsi="Tahoma" w:cs="Tahoma"/>
          <w:sz w:val="20"/>
        </w:rPr>
        <w:sym w:font="Symbol" w:char="F0AE"/>
      </w:r>
      <w:r w:rsidR="001361A7">
        <w:rPr>
          <w:rFonts w:ascii="Tahoma" w:hAnsi="Tahoma" w:cs="Tahoma"/>
          <w:sz w:val="20"/>
        </w:rPr>
        <w:t xml:space="preserve"> </w:t>
      </w:r>
      <w:r w:rsidRPr="00B87C01">
        <w:rPr>
          <w:rFonts w:ascii="Tahoma" w:hAnsi="Tahoma" w:cs="Tahoma"/>
          <w:sz w:val="20"/>
        </w:rPr>
        <w:t>Minimalna plača skupaj z ostalimi prejemki, do katerih so zaposleni upravičeni, že sedaj bistveno presega prag tveganja revščine.</w:t>
      </w:r>
    </w:p>
    <w:p w:rsidR="004E7721" w:rsidRPr="00B87C01" w:rsidRDefault="004E7721" w:rsidP="00B87C01">
      <w:pPr>
        <w:pStyle w:val="Golobesedilo"/>
        <w:numPr>
          <w:ilvl w:val="0"/>
          <w:numId w:val="17"/>
        </w:numPr>
        <w:shd w:val="clear" w:color="auto" w:fill="DEEAF6" w:themeFill="accent1" w:themeFillTint="33"/>
        <w:spacing w:before="160" w:line="276" w:lineRule="auto"/>
        <w:ind w:left="360"/>
        <w:rPr>
          <w:rFonts w:ascii="Tahoma" w:hAnsi="Tahoma" w:cs="Tahoma"/>
          <w:sz w:val="20"/>
        </w:rPr>
      </w:pPr>
      <w:r w:rsidRPr="00B87C01">
        <w:rPr>
          <w:rFonts w:ascii="Tahoma" w:hAnsi="Tahoma" w:cs="Tahoma"/>
          <w:sz w:val="20"/>
        </w:rPr>
        <w:t xml:space="preserve">Slovenija je že sedaj na </w:t>
      </w:r>
      <w:r w:rsidRPr="00B87C01">
        <w:rPr>
          <w:rFonts w:ascii="Tahoma" w:hAnsi="Tahoma" w:cs="Tahoma"/>
          <w:b/>
          <w:sz w:val="20"/>
        </w:rPr>
        <w:t xml:space="preserve">prvem mestu v </w:t>
      </w:r>
      <w:r w:rsidR="00B87C01" w:rsidRPr="00B87C01">
        <w:rPr>
          <w:rFonts w:ascii="Tahoma" w:hAnsi="Tahoma" w:cs="Tahoma"/>
          <w:b/>
          <w:sz w:val="20"/>
        </w:rPr>
        <w:t>EU</w:t>
      </w:r>
      <w:r w:rsidRPr="00B87C01">
        <w:rPr>
          <w:rFonts w:ascii="Tahoma" w:hAnsi="Tahoma" w:cs="Tahoma"/>
          <w:b/>
          <w:sz w:val="20"/>
        </w:rPr>
        <w:t xml:space="preserve"> po razmerju oz. majhnosti razlike med višino minimalne in povprečne plače</w:t>
      </w:r>
      <w:r w:rsidRPr="00B87C01">
        <w:rPr>
          <w:rFonts w:ascii="Tahoma" w:hAnsi="Tahoma" w:cs="Tahoma"/>
          <w:sz w:val="20"/>
        </w:rPr>
        <w:t xml:space="preserve">. Medtem ko je evropsko povprečje pri 43 % povprečne plače, je v Sloveniji 50,8 %, po predlogu MDDSZ bi se povišalo celo na 52,5 %. </w:t>
      </w:r>
      <w:r w:rsidR="001361A7">
        <w:rPr>
          <w:rFonts w:ascii="Tahoma" w:hAnsi="Tahoma" w:cs="Tahoma"/>
          <w:sz w:val="20"/>
        </w:rPr>
        <w:br/>
      </w:r>
      <w:r w:rsidRPr="00B87C01">
        <w:rPr>
          <w:rFonts w:ascii="Tahoma" w:hAnsi="Tahoma" w:cs="Tahoma"/>
          <w:sz w:val="20"/>
        </w:rPr>
        <w:sym w:font="Symbol" w:char="F0AE"/>
      </w:r>
      <w:r w:rsidRPr="00B87C01">
        <w:rPr>
          <w:rFonts w:ascii="Tahoma" w:hAnsi="Tahoma" w:cs="Tahoma"/>
          <w:sz w:val="20"/>
        </w:rPr>
        <w:t xml:space="preserve"> S tako visoko minimalno plačo država delovno-intenzivnim panogam, kot so lesna, tekstilna ipd. in tam zaposlenim delavcem sporoča, da za njih v Sloveniji ni prostora. </w:t>
      </w:r>
    </w:p>
    <w:p w:rsidR="004E7721" w:rsidRPr="00B87C01" w:rsidRDefault="004E7721" w:rsidP="00B87C01">
      <w:pPr>
        <w:pStyle w:val="Golobesedilo"/>
        <w:numPr>
          <w:ilvl w:val="0"/>
          <w:numId w:val="17"/>
        </w:numPr>
        <w:shd w:val="clear" w:color="auto" w:fill="DEEAF6" w:themeFill="accent1" w:themeFillTint="33"/>
        <w:spacing w:before="160" w:line="276" w:lineRule="auto"/>
        <w:ind w:left="360"/>
        <w:rPr>
          <w:rFonts w:ascii="Tahoma" w:hAnsi="Tahoma" w:cs="Tahoma"/>
          <w:sz w:val="20"/>
        </w:rPr>
      </w:pPr>
      <w:r w:rsidRPr="00B87C01">
        <w:rPr>
          <w:rFonts w:ascii="Tahoma" w:hAnsi="Tahoma" w:cs="Tahoma"/>
          <w:b/>
          <w:sz w:val="20"/>
        </w:rPr>
        <w:t>Število zaposlenih, ki prejemajo minimalno plačo</w:t>
      </w:r>
      <w:r w:rsidRPr="00B87C01">
        <w:rPr>
          <w:rFonts w:ascii="Tahoma" w:hAnsi="Tahoma" w:cs="Tahoma"/>
          <w:sz w:val="20"/>
        </w:rPr>
        <w:t xml:space="preserve">, </w:t>
      </w:r>
      <w:r w:rsidRPr="00B87C01">
        <w:rPr>
          <w:rFonts w:ascii="Tahoma" w:hAnsi="Tahoma" w:cs="Tahoma"/>
          <w:b/>
          <w:sz w:val="20"/>
        </w:rPr>
        <w:t>se že nekaj let znižuje</w:t>
      </w:r>
      <w:r w:rsidRPr="00B87C01">
        <w:rPr>
          <w:rFonts w:ascii="Tahoma" w:hAnsi="Tahoma" w:cs="Tahoma"/>
          <w:sz w:val="20"/>
        </w:rPr>
        <w:t xml:space="preserve">. Leta 2013 je bilo teh zaposlenih 50.000, sedaj le še okoli 33 tisoč. To pomeni, da trg dela deluje, saj se plače povečujejo ob hkratnem upadanju brezposelnosti (6,2 % anketna). Na GZS ugotavljamo, da konjunktura v Sloveniji po eni strani vpliva na zviševanje povprečne plače, ki je lani znašala 1.620 EUR bruto, ter po drugi na zniževanje števila prejemnikov minimalne plače. Oboje je pozitivno. </w:t>
      </w:r>
      <w:r w:rsidR="001361A7">
        <w:rPr>
          <w:rFonts w:ascii="Tahoma" w:hAnsi="Tahoma" w:cs="Tahoma"/>
          <w:sz w:val="20"/>
        </w:rPr>
        <w:br/>
      </w:r>
      <w:r w:rsidRPr="00B87C01">
        <w:rPr>
          <w:rFonts w:ascii="Tahoma" w:hAnsi="Tahoma" w:cs="Tahoma"/>
          <w:sz w:val="20"/>
        </w:rPr>
        <w:sym w:font="Symbol" w:char="F0AE"/>
      </w:r>
      <w:r w:rsidRPr="00B87C01">
        <w:rPr>
          <w:rFonts w:ascii="Tahoma" w:hAnsi="Tahoma" w:cs="Tahoma"/>
          <w:sz w:val="20"/>
        </w:rPr>
        <w:t xml:space="preserve"> Če trg deluje, ni potrebe po vladnih posegih v pozitiven proces.</w:t>
      </w:r>
    </w:p>
    <w:p w:rsidR="004E7721" w:rsidRPr="00B87C01" w:rsidRDefault="004E7721" w:rsidP="00B87C01">
      <w:pPr>
        <w:pStyle w:val="Golobesedilo"/>
        <w:numPr>
          <w:ilvl w:val="0"/>
          <w:numId w:val="17"/>
        </w:numPr>
        <w:shd w:val="clear" w:color="auto" w:fill="DEEAF6" w:themeFill="accent1" w:themeFillTint="33"/>
        <w:spacing w:before="160" w:line="276" w:lineRule="auto"/>
        <w:ind w:left="360"/>
        <w:rPr>
          <w:rFonts w:ascii="Tahoma" w:hAnsi="Tahoma" w:cs="Tahoma"/>
          <w:sz w:val="20"/>
        </w:rPr>
      </w:pPr>
      <w:r w:rsidRPr="00B87C01">
        <w:rPr>
          <w:rFonts w:ascii="Tahoma" w:hAnsi="Tahoma" w:cs="Tahoma"/>
          <w:b/>
          <w:sz w:val="20"/>
        </w:rPr>
        <w:t>Od leta 2010 se je minimalna plača povečala za 35 %,</w:t>
      </w:r>
      <w:r w:rsidRPr="00B87C01">
        <w:rPr>
          <w:rFonts w:ascii="Tahoma" w:hAnsi="Tahoma" w:cs="Tahoma"/>
          <w:sz w:val="20"/>
        </w:rPr>
        <w:t xml:space="preserve"> medtem ko so se:</w:t>
      </w:r>
    </w:p>
    <w:p w:rsidR="004E7721" w:rsidRPr="00B87C01" w:rsidRDefault="00C71500" w:rsidP="00C71500">
      <w:pPr>
        <w:pStyle w:val="Golobesedilo"/>
        <w:shd w:val="clear" w:color="auto" w:fill="DEEAF6" w:themeFill="accent1" w:themeFillTint="33"/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- c</w:t>
      </w:r>
      <w:r w:rsidR="004E7721" w:rsidRPr="00B87C01">
        <w:rPr>
          <w:rFonts w:ascii="Tahoma" w:hAnsi="Tahoma" w:cs="Tahoma"/>
          <w:sz w:val="20"/>
        </w:rPr>
        <w:t xml:space="preserve">ene za 11 %, </w:t>
      </w:r>
    </w:p>
    <w:p w:rsidR="004E7721" w:rsidRPr="00B87C01" w:rsidRDefault="00C71500" w:rsidP="00C71500">
      <w:pPr>
        <w:pStyle w:val="Golobesedilo"/>
        <w:shd w:val="clear" w:color="auto" w:fill="DEEAF6" w:themeFill="accent1" w:themeFillTint="33"/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- </w:t>
      </w:r>
      <w:r w:rsidR="004E7721" w:rsidRPr="00B87C01">
        <w:rPr>
          <w:rFonts w:ascii="Tahoma" w:hAnsi="Tahoma" w:cs="Tahoma"/>
          <w:sz w:val="20"/>
        </w:rPr>
        <w:t xml:space="preserve">povprečna realna bruto plača za 5 %, </w:t>
      </w:r>
    </w:p>
    <w:p w:rsidR="004E7721" w:rsidRPr="00B87C01" w:rsidRDefault="00C71500" w:rsidP="00C71500">
      <w:pPr>
        <w:pStyle w:val="Golobesedilo"/>
        <w:shd w:val="clear" w:color="auto" w:fill="DEEAF6" w:themeFill="accent1" w:themeFillTint="33"/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- </w:t>
      </w:r>
      <w:r w:rsidR="004E7721" w:rsidRPr="00B87C01">
        <w:rPr>
          <w:rFonts w:ascii="Tahoma" w:hAnsi="Tahoma" w:cs="Tahoma"/>
          <w:sz w:val="20"/>
        </w:rPr>
        <w:t xml:space="preserve">zaposlenost je nižja za 1 %, </w:t>
      </w:r>
    </w:p>
    <w:p w:rsidR="004E7721" w:rsidRPr="00B87C01" w:rsidRDefault="00C71500" w:rsidP="00C71500">
      <w:pPr>
        <w:pStyle w:val="Golobesedilo"/>
        <w:shd w:val="clear" w:color="auto" w:fill="DEEAF6" w:themeFill="accent1" w:themeFillTint="33"/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- </w:t>
      </w:r>
      <w:r w:rsidR="004E7721" w:rsidRPr="00B87C01">
        <w:rPr>
          <w:rFonts w:ascii="Tahoma" w:hAnsi="Tahoma" w:cs="Tahoma"/>
          <w:sz w:val="20"/>
        </w:rPr>
        <w:t xml:space="preserve">BDP pa je realno višji za 2,4 %. </w:t>
      </w:r>
    </w:p>
    <w:p w:rsidR="004E7721" w:rsidRPr="00B87C01" w:rsidRDefault="00C71500" w:rsidP="00C71500">
      <w:pPr>
        <w:pStyle w:val="Golobesedilo"/>
        <w:shd w:val="clear" w:color="auto" w:fill="DEEAF6" w:themeFill="accent1" w:themeFillTint="33"/>
        <w:spacing w:line="276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4E7721" w:rsidRPr="00B87C01">
        <w:rPr>
          <w:rFonts w:ascii="Tahoma" w:hAnsi="Tahoma" w:cs="Tahoma"/>
          <w:sz w:val="20"/>
        </w:rPr>
        <w:t>Minimalna plača se je tako znatno okrepila napram vsem tem vrednostim, ki se omenjajo</w:t>
      </w:r>
      <w:r>
        <w:rPr>
          <w:rFonts w:ascii="Tahoma" w:hAnsi="Tahoma" w:cs="Tahoma"/>
          <w:sz w:val="20"/>
        </w:rPr>
        <w:br/>
        <w:t xml:space="preserve">   </w:t>
      </w:r>
      <w:r w:rsidR="004E7721" w:rsidRPr="00B87C0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</w:t>
      </w:r>
      <w:r w:rsidR="004E7721" w:rsidRPr="00B87C01">
        <w:rPr>
          <w:rFonts w:ascii="Tahoma" w:hAnsi="Tahoma" w:cs="Tahoma"/>
          <w:sz w:val="20"/>
        </w:rPr>
        <w:t>kot indikator</w:t>
      </w:r>
      <w:r w:rsidR="00514FF8">
        <w:rPr>
          <w:rFonts w:ascii="Tahoma" w:hAnsi="Tahoma" w:cs="Tahoma"/>
          <w:sz w:val="20"/>
        </w:rPr>
        <w:t>ji pri usklajevanju</w:t>
      </w:r>
      <w:r w:rsidR="004E7721" w:rsidRPr="00B87C01">
        <w:rPr>
          <w:rFonts w:ascii="Tahoma" w:hAnsi="Tahoma" w:cs="Tahoma"/>
          <w:sz w:val="20"/>
        </w:rPr>
        <w:t xml:space="preserve"> minimalne plače. </w:t>
      </w:r>
    </w:p>
    <w:p w:rsidR="004E7721" w:rsidRPr="00B87C01" w:rsidRDefault="004E7721" w:rsidP="00B87C01">
      <w:pPr>
        <w:pStyle w:val="Golobesedilo"/>
        <w:numPr>
          <w:ilvl w:val="0"/>
          <w:numId w:val="17"/>
        </w:numPr>
        <w:shd w:val="clear" w:color="auto" w:fill="DEEAF6" w:themeFill="accent1" w:themeFillTint="33"/>
        <w:spacing w:before="160" w:line="276" w:lineRule="auto"/>
        <w:ind w:left="360"/>
        <w:rPr>
          <w:rFonts w:ascii="Tahoma" w:hAnsi="Tahoma" w:cs="Tahoma"/>
          <w:sz w:val="20"/>
        </w:rPr>
      </w:pPr>
      <w:r w:rsidRPr="00B87C01">
        <w:rPr>
          <w:rFonts w:ascii="Tahoma" w:hAnsi="Tahoma" w:cs="Tahoma"/>
          <w:sz w:val="20"/>
        </w:rPr>
        <w:lastRenderedPageBreak/>
        <w:t xml:space="preserve">Inflacija je lani znašala 1,7 %, kar je povsem razumljiv in sprejemljiv dvig minimalne plače. Dosedanja praksa dviga minimalne plače je bila usklajevanje z inflacijo. </w:t>
      </w:r>
      <w:r w:rsidR="001361A7">
        <w:rPr>
          <w:rFonts w:ascii="Tahoma" w:hAnsi="Tahoma" w:cs="Tahoma"/>
          <w:sz w:val="20"/>
        </w:rPr>
        <w:br/>
      </w:r>
      <w:r w:rsidRPr="00B87C01">
        <w:rPr>
          <w:rFonts w:ascii="Tahoma" w:hAnsi="Tahoma" w:cs="Tahoma"/>
          <w:sz w:val="20"/>
        </w:rPr>
        <w:sym w:font="Symbol" w:char="F0AE"/>
      </w:r>
      <w:r w:rsidRPr="00B87C01">
        <w:rPr>
          <w:rFonts w:ascii="Tahoma" w:hAnsi="Tahoma" w:cs="Tahoma"/>
          <w:sz w:val="20"/>
        </w:rPr>
        <w:t xml:space="preserve"> Dvig v višini inflacije, ki ohranja realno vrednost minimalne plače, podpira tudi GZS. </w:t>
      </w:r>
    </w:p>
    <w:p w:rsidR="00C71500" w:rsidRPr="00C71500" w:rsidRDefault="004E7721" w:rsidP="000C72AD">
      <w:pPr>
        <w:pStyle w:val="Golobesedilo"/>
        <w:numPr>
          <w:ilvl w:val="0"/>
          <w:numId w:val="17"/>
        </w:numPr>
        <w:shd w:val="clear" w:color="auto" w:fill="DEEAF6" w:themeFill="accent1" w:themeFillTint="33"/>
        <w:spacing w:before="160" w:line="276" w:lineRule="auto"/>
        <w:ind w:left="360"/>
        <w:rPr>
          <w:rFonts w:ascii="Tahoma" w:hAnsi="Tahoma" w:cs="Tahoma"/>
          <w:sz w:val="20"/>
        </w:rPr>
      </w:pPr>
      <w:r w:rsidRPr="00C71500">
        <w:rPr>
          <w:rFonts w:ascii="Tahoma" w:hAnsi="Tahoma" w:cs="Tahoma"/>
          <w:sz w:val="20"/>
        </w:rPr>
        <w:t xml:space="preserve">Predlagan skok za 4,7 % pri minimalni plači, kot ga je predlagal MDDSZ, je povsem nepotreben in bistveno </w:t>
      </w:r>
      <w:r w:rsidRPr="00C71500">
        <w:rPr>
          <w:rFonts w:ascii="Tahoma" w:hAnsi="Tahoma" w:cs="Tahoma"/>
          <w:b/>
          <w:sz w:val="20"/>
        </w:rPr>
        <w:t>odstopa od dosedanjega usklajevanja z inflacijo.</w:t>
      </w:r>
      <w:r w:rsidRPr="00C71500">
        <w:rPr>
          <w:rFonts w:ascii="Tahoma" w:hAnsi="Tahoma" w:cs="Tahoma"/>
          <w:sz w:val="20"/>
        </w:rPr>
        <w:t xml:space="preserve"> Poleg tega nima utemeljitve niti v ekonomskih kazalnikih, ki jih predvideva zakon o minimalni plači, saj je v 2017:</w:t>
      </w:r>
      <w:r w:rsidR="00C71500" w:rsidRPr="00C71500">
        <w:rPr>
          <w:rFonts w:ascii="Tahoma" w:hAnsi="Tahoma" w:cs="Tahoma"/>
          <w:sz w:val="20"/>
        </w:rPr>
        <w:br/>
        <w:t>- povprečna letna inflacija znašala 1,4 %, medletna (dec.-dec.) 1,7 %,</w:t>
      </w:r>
      <w:r w:rsidR="00C71500" w:rsidRPr="00C71500">
        <w:rPr>
          <w:rFonts w:ascii="Tahoma" w:hAnsi="Tahoma" w:cs="Tahoma"/>
          <w:sz w:val="20"/>
        </w:rPr>
        <w:br/>
      </w:r>
      <w:r w:rsidR="00C71500">
        <w:rPr>
          <w:rFonts w:ascii="Tahoma" w:hAnsi="Tahoma" w:cs="Tahoma"/>
          <w:sz w:val="20"/>
        </w:rPr>
        <w:t xml:space="preserve">- </w:t>
      </w:r>
      <w:r w:rsidR="00C71500" w:rsidRPr="00B87C01">
        <w:rPr>
          <w:rFonts w:ascii="Tahoma" w:hAnsi="Tahoma" w:cs="Tahoma"/>
          <w:sz w:val="20"/>
        </w:rPr>
        <w:t xml:space="preserve">povprečna rast </w:t>
      </w:r>
      <w:r w:rsidR="00514FF8">
        <w:rPr>
          <w:rFonts w:ascii="Tahoma" w:hAnsi="Tahoma" w:cs="Tahoma"/>
          <w:sz w:val="20"/>
        </w:rPr>
        <w:t xml:space="preserve">bruto </w:t>
      </w:r>
      <w:r w:rsidR="00C71500" w:rsidRPr="00B87C01">
        <w:rPr>
          <w:rFonts w:ascii="Tahoma" w:hAnsi="Tahoma" w:cs="Tahoma"/>
          <w:sz w:val="20"/>
        </w:rPr>
        <w:t>plač je bila 2,</w:t>
      </w:r>
      <w:r w:rsidR="00514FF8">
        <w:rPr>
          <w:rFonts w:ascii="Tahoma" w:hAnsi="Tahoma" w:cs="Tahoma"/>
          <w:sz w:val="20"/>
        </w:rPr>
        <w:t>6</w:t>
      </w:r>
      <w:r w:rsidR="00C71500">
        <w:rPr>
          <w:rFonts w:ascii="Tahoma" w:hAnsi="Tahoma" w:cs="Tahoma"/>
          <w:sz w:val="20"/>
        </w:rPr>
        <w:t xml:space="preserve"> </w:t>
      </w:r>
      <w:r w:rsidR="00C71500" w:rsidRPr="00B87C01">
        <w:rPr>
          <w:rFonts w:ascii="Tahoma" w:hAnsi="Tahoma" w:cs="Tahoma"/>
          <w:sz w:val="20"/>
        </w:rPr>
        <w:t>%</w:t>
      </w:r>
      <w:r w:rsidR="00C71500">
        <w:rPr>
          <w:rFonts w:ascii="Tahoma" w:hAnsi="Tahoma" w:cs="Tahoma"/>
          <w:sz w:val="20"/>
        </w:rPr>
        <w:t>,</w:t>
      </w:r>
      <w:r w:rsidR="00C71500">
        <w:rPr>
          <w:rFonts w:ascii="Tahoma" w:hAnsi="Tahoma" w:cs="Tahoma"/>
          <w:sz w:val="20"/>
        </w:rPr>
        <w:br/>
        <w:t xml:space="preserve">- </w:t>
      </w:r>
      <w:r w:rsidR="00C71500" w:rsidRPr="00B87C01">
        <w:rPr>
          <w:rFonts w:ascii="Tahoma" w:hAnsi="Tahoma" w:cs="Tahoma"/>
          <w:sz w:val="20"/>
        </w:rPr>
        <w:t>rast BDP po oceni UMAR 4,4</w:t>
      </w:r>
      <w:r w:rsidR="00C71500">
        <w:rPr>
          <w:rFonts w:ascii="Tahoma" w:hAnsi="Tahoma" w:cs="Tahoma"/>
          <w:sz w:val="20"/>
        </w:rPr>
        <w:t xml:space="preserve"> </w:t>
      </w:r>
      <w:r w:rsidR="00C71500" w:rsidRPr="00B87C01">
        <w:rPr>
          <w:rFonts w:ascii="Tahoma" w:hAnsi="Tahoma" w:cs="Tahoma"/>
          <w:sz w:val="20"/>
        </w:rPr>
        <w:t>%</w:t>
      </w:r>
      <w:r w:rsidR="00C71500">
        <w:rPr>
          <w:rFonts w:ascii="Tahoma" w:hAnsi="Tahoma" w:cs="Tahoma"/>
          <w:sz w:val="20"/>
        </w:rPr>
        <w:t>.</w:t>
      </w:r>
    </w:p>
    <w:p w:rsidR="004E7721" w:rsidRPr="00B87C01" w:rsidRDefault="004E7721" w:rsidP="00B87C01">
      <w:pPr>
        <w:pStyle w:val="Golobesedilo"/>
        <w:numPr>
          <w:ilvl w:val="0"/>
          <w:numId w:val="17"/>
        </w:numPr>
        <w:shd w:val="clear" w:color="auto" w:fill="DEEAF6" w:themeFill="accent1" w:themeFillTint="33"/>
        <w:spacing w:before="160" w:line="276" w:lineRule="auto"/>
        <w:ind w:left="360"/>
        <w:rPr>
          <w:rFonts w:ascii="Tahoma" w:hAnsi="Tahoma" w:cs="Tahoma"/>
          <w:sz w:val="20"/>
        </w:rPr>
      </w:pPr>
      <w:r w:rsidRPr="00B87C01">
        <w:rPr>
          <w:rFonts w:ascii="Tahoma" w:hAnsi="Tahoma" w:cs="Tahoma"/>
          <w:sz w:val="20"/>
        </w:rPr>
        <w:t>Ob takem dvigu bi s</w:t>
      </w:r>
      <w:r w:rsidR="00514FF8">
        <w:rPr>
          <w:rFonts w:ascii="Tahoma" w:hAnsi="Tahoma" w:cs="Tahoma"/>
          <w:sz w:val="20"/>
        </w:rPr>
        <w:t>e</w:t>
      </w:r>
      <w:r w:rsidRPr="00B87C01">
        <w:rPr>
          <w:rFonts w:ascii="Tahoma" w:hAnsi="Tahoma" w:cs="Tahoma"/>
          <w:sz w:val="20"/>
        </w:rPr>
        <w:t xml:space="preserve"> ponovno </w:t>
      </w:r>
      <w:r w:rsidRPr="00B87C01">
        <w:rPr>
          <w:rFonts w:ascii="Tahoma" w:hAnsi="Tahoma" w:cs="Tahoma"/>
          <w:b/>
          <w:sz w:val="20"/>
        </w:rPr>
        <w:t>okrepil</w:t>
      </w:r>
      <w:r w:rsidR="00514FF8">
        <w:rPr>
          <w:rFonts w:ascii="Tahoma" w:hAnsi="Tahoma" w:cs="Tahoma"/>
          <w:b/>
          <w:sz w:val="20"/>
        </w:rPr>
        <w:t>a</w:t>
      </w:r>
      <w:r w:rsidRPr="00B87C01">
        <w:rPr>
          <w:rFonts w:ascii="Tahoma" w:hAnsi="Tahoma" w:cs="Tahoma"/>
          <w:b/>
          <w:sz w:val="20"/>
        </w:rPr>
        <w:t xml:space="preserve"> uravnilovk</w:t>
      </w:r>
      <w:r w:rsidR="00514FF8">
        <w:rPr>
          <w:rFonts w:ascii="Tahoma" w:hAnsi="Tahoma" w:cs="Tahoma"/>
          <w:b/>
          <w:sz w:val="20"/>
        </w:rPr>
        <w:t>a</w:t>
      </w:r>
      <w:r w:rsidRPr="00B87C01">
        <w:rPr>
          <w:rFonts w:ascii="Tahoma" w:hAnsi="Tahoma" w:cs="Tahoma"/>
          <w:sz w:val="20"/>
        </w:rPr>
        <w:t xml:space="preserve">. </w:t>
      </w:r>
      <w:r w:rsidR="00514FF8" w:rsidRPr="00B87C01">
        <w:rPr>
          <w:rFonts w:ascii="Tahoma" w:hAnsi="Tahoma" w:cs="Tahoma"/>
          <w:sz w:val="20"/>
        </w:rPr>
        <w:t>Spodbu</w:t>
      </w:r>
      <w:r w:rsidR="00514FF8">
        <w:rPr>
          <w:rFonts w:ascii="Tahoma" w:hAnsi="Tahoma" w:cs="Tahoma"/>
          <w:sz w:val="20"/>
        </w:rPr>
        <w:t>jena</w:t>
      </w:r>
      <w:r w:rsidRPr="00B87C01">
        <w:rPr>
          <w:rFonts w:ascii="Tahoma" w:hAnsi="Tahoma" w:cs="Tahoma"/>
          <w:sz w:val="20"/>
        </w:rPr>
        <w:t xml:space="preserve"> bi </w:t>
      </w:r>
      <w:r w:rsidR="00514FF8">
        <w:rPr>
          <w:rFonts w:ascii="Tahoma" w:hAnsi="Tahoma" w:cs="Tahoma"/>
          <w:sz w:val="20"/>
        </w:rPr>
        <w:t xml:space="preserve">bila </w:t>
      </w:r>
      <w:r w:rsidRPr="00B87C01">
        <w:rPr>
          <w:rFonts w:ascii="Tahoma" w:hAnsi="Tahoma" w:cs="Tahoma"/>
          <w:sz w:val="20"/>
        </w:rPr>
        <w:t xml:space="preserve">tudi rast </w:t>
      </w:r>
      <w:proofErr w:type="spellStart"/>
      <w:r w:rsidRPr="00B87C01">
        <w:rPr>
          <w:rFonts w:ascii="Tahoma" w:hAnsi="Tahoma" w:cs="Tahoma"/>
          <w:sz w:val="20"/>
        </w:rPr>
        <w:t>prekernih</w:t>
      </w:r>
      <w:proofErr w:type="spellEnd"/>
      <w:r w:rsidRPr="00B87C01">
        <w:rPr>
          <w:rFonts w:ascii="Tahoma" w:hAnsi="Tahoma" w:cs="Tahoma"/>
          <w:sz w:val="20"/>
        </w:rPr>
        <w:t xml:space="preserve"> delovnih razmerij. </w:t>
      </w:r>
    </w:p>
    <w:p w:rsidR="004E7721" w:rsidRPr="00B87C01" w:rsidRDefault="004E7721" w:rsidP="00B87C01">
      <w:pPr>
        <w:pStyle w:val="Golobesedilo"/>
        <w:numPr>
          <w:ilvl w:val="0"/>
          <w:numId w:val="17"/>
        </w:numPr>
        <w:shd w:val="clear" w:color="auto" w:fill="DEEAF6" w:themeFill="accent1" w:themeFillTint="33"/>
        <w:spacing w:before="160" w:line="276" w:lineRule="auto"/>
        <w:ind w:left="360"/>
        <w:rPr>
          <w:rFonts w:ascii="Tahoma" w:hAnsi="Tahoma" w:cs="Tahoma"/>
          <w:sz w:val="20"/>
        </w:rPr>
      </w:pPr>
      <w:r w:rsidRPr="00B87C01">
        <w:rPr>
          <w:rFonts w:ascii="Tahoma" w:hAnsi="Tahoma" w:cs="Tahoma"/>
          <w:sz w:val="20"/>
        </w:rPr>
        <w:t xml:space="preserve">Dvigu minimalne plače praviloma sledijo tudi ostale plače zaradi ohranjanja razmerja. </w:t>
      </w:r>
      <w:r w:rsidR="001361A7">
        <w:rPr>
          <w:rFonts w:ascii="Tahoma" w:hAnsi="Tahoma" w:cs="Tahoma"/>
          <w:sz w:val="20"/>
        </w:rPr>
        <w:br/>
      </w:r>
      <w:r w:rsidRPr="00B87C01">
        <w:rPr>
          <w:rFonts w:ascii="Tahoma" w:hAnsi="Tahoma" w:cs="Tahoma"/>
          <w:sz w:val="20"/>
        </w:rPr>
        <w:sym w:font="Symbol" w:char="F0AE"/>
      </w:r>
      <w:r w:rsidRPr="00B87C01">
        <w:rPr>
          <w:rFonts w:ascii="Tahoma" w:hAnsi="Tahoma" w:cs="Tahoma"/>
          <w:sz w:val="20"/>
        </w:rPr>
        <w:t xml:space="preserve"> </w:t>
      </w:r>
      <w:r w:rsidR="001361A7">
        <w:rPr>
          <w:rFonts w:ascii="Tahoma" w:hAnsi="Tahoma" w:cs="Tahoma"/>
          <w:sz w:val="20"/>
        </w:rPr>
        <w:t>Ocenjeni učinek MDDSZ c</w:t>
      </w:r>
      <w:r w:rsidRPr="00B87C01">
        <w:rPr>
          <w:rFonts w:ascii="Tahoma" w:hAnsi="Tahoma" w:cs="Tahoma"/>
          <w:sz w:val="20"/>
        </w:rPr>
        <w:t>a</w:t>
      </w:r>
      <w:r w:rsidR="001361A7">
        <w:rPr>
          <w:rFonts w:ascii="Tahoma" w:hAnsi="Tahoma" w:cs="Tahoma"/>
          <w:sz w:val="20"/>
        </w:rPr>
        <w:t>.</w:t>
      </w:r>
      <w:r w:rsidRPr="00B87C01">
        <w:rPr>
          <w:rFonts w:ascii="Tahoma" w:hAnsi="Tahoma" w:cs="Tahoma"/>
          <w:sz w:val="20"/>
        </w:rPr>
        <w:t xml:space="preserve"> 11 mio evrov je močno podcenjen.</w:t>
      </w:r>
    </w:p>
    <w:p w:rsidR="004E7721" w:rsidRPr="00BD2EC0" w:rsidRDefault="004E7721" w:rsidP="004E7721">
      <w:pPr>
        <w:rPr>
          <w:rFonts w:ascii="Tahoma" w:hAnsi="Tahoma" w:cs="Tahoma"/>
          <w:b/>
        </w:rPr>
      </w:pPr>
    </w:p>
    <w:sectPr w:rsidR="004E7721" w:rsidRPr="00BD2EC0" w:rsidSect="00BA0B8E">
      <w:headerReference w:type="default" r:id="rId7"/>
      <w:footerReference w:type="default" r:id="rId8"/>
      <w:headerReference w:type="first" r:id="rId9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DC9" w:rsidRDefault="000B7DC9">
      <w:r>
        <w:separator/>
      </w:r>
    </w:p>
  </w:endnote>
  <w:endnote w:type="continuationSeparator" w:id="0">
    <w:p w:rsidR="000B7DC9" w:rsidRDefault="000B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Pr="007B61FD" w:rsidRDefault="005D1B41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093334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DC9" w:rsidRDefault="000B7DC9">
      <w:r>
        <w:separator/>
      </w:r>
    </w:p>
  </w:footnote>
  <w:footnote w:type="continuationSeparator" w:id="0">
    <w:p w:rsidR="000B7DC9" w:rsidRDefault="000B7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F37143" w:rsidP="00FB2E56">
    <w:pPr>
      <w:ind w:left="-1134"/>
    </w:pPr>
    <w:r>
      <w:rPr>
        <w:noProof/>
      </w:rPr>
      <w:drawing>
        <wp:inline distT="0" distB="0" distL="0" distR="0">
          <wp:extent cx="930275" cy="469265"/>
          <wp:effectExtent l="0" t="0" r="3175" b="6985"/>
          <wp:docPr id="1" name="Slika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41" w:rsidRDefault="00F37143" w:rsidP="00FB2E56">
    <w:pPr>
      <w:ind w:left="-1134"/>
    </w:pPr>
    <w:r>
      <w:rPr>
        <w:noProof/>
      </w:rPr>
      <w:drawing>
        <wp:inline distT="0" distB="0" distL="0" distR="0">
          <wp:extent cx="930275" cy="469265"/>
          <wp:effectExtent l="0" t="0" r="3175" b="6985"/>
          <wp:docPr id="2" name="Slika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0B8E" w:rsidRPr="00FB2E56" w:rsidRDefault="006A3917" w:rsidP="00BA0B8E">
    <w:pPr>
      <w:pBdr>
        <w:bottom w:val="single" w:sz="18" w:space="1" w:color="808080"/>
      </w:pBdr>
      <w:spacing w:line="240" w:lineRule="exact"/>
      <w:ind w:left="-1134" w:right="-1134"/>
      <w:rPr>
        <w:rFonts w:ascii="Verdana" w:hAnsi="Verdana" w:cs="Tahoma"/>
        <w:szCs w:val="14"/>
      </w:rPr>
    </w:pPr>
    <w:r>
      <w:rPr>
        <w:rFonts w:ascii="Verdana" w:hAnsi="Verdana" w:cs="Tahoma"/>
        <w:noProof/>
        <w:sz w:val="14"/>
        <w:szCs w:val="14"/>
      </w:rPr>
      <w:t>Služba za strateško komuniciranje</w:t>
    </w:r>
  </w:p>
  <w:p w:rsidR="005D1B41" w:rsidRPr="00BA0B8E" w:rsidRDefault="006A3917" w:rsidP="00BA0B8E">
    <w:pPr>
      <w:ind w:left="-1134" w:right="-1038"/>
      <w:rPr>
        <w:rFonts w:ascii="Verdana" w:hAnsi="Verdana" w:cs="Tahoma"/>
        <w:noProof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>Dimičeva 13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1504 Ljubljana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sz w:val="14"/>
        <w:szCs w:val="14"/>
      </w:rPr>
      <w:t>01 5898 000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sz w:val="14"/>
        <w:szCs w:val="14"/>
      </w:rPr>
      <w:t>01 5898 100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info@gzs.si</w:t>
    </w:r>
    <w:r w:rsidR="005D1B41" w:rsidRPr="00BA0B8E">
      <w:rPr>
        <w:rFonts w:ascii="Verdana" w:hAnsi="Verdana" w:cs="Tahoma"/>
        <w:sz w:val="14"/>
        <w:szCs w:val="14"/>
      </w:rPr>
      <w:t xml:space="preserve"> </w:t>
    </w:r>
    <w:r w:rsidR="00BA0B8E" w:rsidRPr="008B4EC5">
      <w:rPr>
        <w:rFonts w:ascii="Verdana" w:hAnsi="Verdana" w:cs="Tahoma"/>
        <w:color w:val="808080"/>
        <w:sz w:val="12"/>
        <w:szCs w:val="12"/>
      </w:rPr>
      <w:sym w:font="Wingdings" w:char="F06E"/>
    </w:r>
    <w:r w:rsidR="005D1B41" w:rsidRPr="00BA0B8E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sz w:val="14"/>
        <w:szCs w:val="14"/>
      </w:rPr>
      <w:t>www.gzs.si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B60FA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A213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67D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F69B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006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A5B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E236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38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AA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64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F0167"/>
    <w:multiLevelType w:val="hybridMultilevel"/>
    <w:tmpl w:val="FCC84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10165"/>
    <w:multiLevelType w:val="hybridMultilevel"/>
    <w:tmpl w:val="7BD071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352A0"/>
    <w:multiLevelType w:val="hybridMultilevel"/>
    <w:tmpl w:val="F44E182C"/>
    <w:lvl w:ilvl="0" w:tplc="B5065FC8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5664"/>
    <w:multiLevelType w:val="hybridMultilevel"/>
    <w:tmpl w:val="F8DCCE70"/>
    <w:lvl w:ilvl="0" w:tplc="5F5CA6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96F86"/>
    <w:multiLevelType w:val="hybridMultilevel"/>
    <w:tmpl w:val="18141670"/>
    <w:lvl w:ilvl="0" w:tplc="B5065FC8">
      <w:numFmt w:val="bullet"/>
      <w:lvlText w:val="-"/>
      <w:lvlJc w:val="left"/>
      <w:pPr>
        <w:ind w:left="469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5" w15:restartNumberingAfterBreak="0">
    <w:nsid w:val="61E96FE8"/>
    <w:multiLevelType w:val="hybridMultilevel"/>
    <w:tmpl w:val="E44497FE"/>
    <w:lvl w:ilvl="0" w:tplc="A15004E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895C31"/>
    <w:multiLevelType w:val="hybridMultilevel"/>
    <w:tmpl w:val="25F80B30"/>
    <w:lvl w:ilvl="0" w:tplc="B5065FC8"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 w15:restartNumberingAfterBreak="0">
    <w:nsid w:val="64E45111"/>
    <w:multiLevelType w:val="hybridMultilevel"/>
    <w:tmpl w:val="952E96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CED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E2A20"/>
    <w:multiLevelType w:val="hybridMultilevel"/>
    <w:tmpl w:val="A3B0367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6"/>
  </w:num>
  <w:num w:numId="14">
    <w:abstractNumId w:val="18"/>
  </w:num>
  <w:num w:numId="15">
    <w:abstractNumId w:val="13"/>
  </w:num>
  <w:num w:numId="16">
    <w:abstractNumId w:val="10"/>
  </w:num>
  <w:num w:numId="17">
    <w:abstractNumId w:val="11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A7"/>
    <w:rsid w:val="00027B13"/>
    <w:rsid w:val="00036C43"/>
    <w:rsid w:val="00042015"/>
    <w:rsid w:val="0005114A"/>
    <w:rsid w:val="00055CD1"/>
    <w:rsid w:val="00055D01"/>
    <w:rsid w:val="00066603"/>
    <w:rsid w:val="0007160A"/>
    <w:rsid w:val="00073EC6"/>
    <w:rsid w:val="00093334"/>
    <w:rsid w:val="00097B6D"/>
    <w:rsid w:val="000A0BAF"/>
    <w:rsid w:val="000A246B"/>
    <w:rsid w:val="000B2736"/>
    <w:rsid w:val="000B6D4C"/>
    <w:rsid w:val="000B7DC9"/>
    <w:rsid w:val="000C2768"/>
    <w:rsid w:val="000C5485"/>
    <w:rsid w:val="000D38B3"/>
    <w:rsid w:val="000E1CB3"/>
    <w:rsid w:val="000E645D"/>
    <w:rsid w:val="000F1ACE"/>
    <w:rsid w:val="000F3141"/>
    <w:rsid w:val="000F4A14"/>
    <w:rsid w:val="00106C60"/>
    <w:rsid w:val="00106DD2"/>
    <w:rsid w:val="001233DB"/>
    <w:rsid w:val="00127BCD"/>
    <w:rsid w:val="0013261C"/>
    <w:rsid w:val="001361A7"/>
    <w:rsid w:val="00162E5E"/>
    <w:rsid w:val="00185CFD"/>
    <w:rsid w:val="0018741A"/>
    <w:rsid w:val="00187CED"/>
    <w:rsid w:val="00192907"/>
    <w:rsid w:val="00195BCC"/>
    <w:rsid w:val="001A35DD"/>
    <w:rsid w:val="001A64D7"/>
    <w:rsid w:val="001C5AC0"/>
    <w:rsid w:val="001D4C4B"/>
    <w:rsid w:val="001F7280"/>
    <w:rsid w:val="00201797"/>
    <w:rsid w:val="00204C95"/>
    <w:rsid w:val="002119C0"/>
    <w:rsid w:val="002208A7"/>
    <w:rsid w:val="00223433"/>
    <w:rsid w:val="00224D71"/>
    <w:rsid w:val="00224F01"/>
    <w:rsid w:val="00227F31"/>
    <w:rsid w:val="00244150"/>
    <w:rsid w:val="002520D3"/>
    <w:rsid w:val="00260AE5"/>
    <w:rsid w:val="00290D83"/>
    <w:rsid w:val="002B2CA4"/>
    <w:rsid w:val="002B7510"/>
    <w:rsid w:val="002C0749"/>
    <w:rsid w:val="002C39F9"/>
    <w:rsid w:val="002D0B4F"/>
    <w:rsid w:val="002D4C9B"/>
    <w:rsid w:val="00305013"/>
    <w:rsid w:val="00314279"/>
    <w:rsid w:val="003274FC"/>
    <w:rsid w:val="0033192E"/>
    <w:rsid w:val="00335642"/>
    <w:rsid w:val="00343A29"/>
    <w:rsid w:val="00351B5E"/>
    <w:rsid w:val="00354CA5"/>
    <w:rsid w:val="0037154B"/>
    <w:rsid w:val="003765FF"/>
    <w:rsid w:val="00381D41"/>
    <w:rsid w:val="003B1696"/>
    <w:rsid w:val="003B6EB1"/>
    <w:rsid w:val="003D319E"/>
    <w:rsid w:val="003D6CC4"/>
    <w:rsid w:val="003E5854"/>
    <w:rsid w:val="00403B86"/>
    <w:rsid w:val="004111B7"/>
    <w:rsid w:val="00415FBF"/>
    <w:rsid w:val="004242F0"/>
    <w:rsid w:val="004255B7"/>
    <w:rsid w:val="004276E9"/>
    <w:rsid w:val="00437E61"/>
    <w:rsid w:val="004558F3"/>
    <w:rsid w:val="00477BFF"/>
    <w:rsid w:val="00490583"/>
    <w:rsid w:val="004A0F96"/>
    <w:rsid w:val="004A490D"/>
    <w:rsid w:val="004A57F7"/>
    <w:rsid w:val="004C1CB9"/>
    <w:rsid w:val="004C353F"/>
    <w:rsid w:val="004C7A32"/>
    <w:rsid w:val="004D222B"/>
    <w:rsid w:val="004D7A8F"/>
    <w:rsid w:val="004E0AAF"/>
    <w:rsid w:val="004E4D0D"/>
    <w:rsid w:val="004E76A3"/>
    <w:rsid w:val="004E7721"/>
    <w:rsid w:val="004F6664"/>
    <w:rsid w:val="004F761C"/>
    <w:rsid w:val="00503AA6"/>
    <w:rsid w:val="00504D6E"/>
    <w:rsid w:val="00514FF8"/>
    <w:rsid w:val="005178F2"/>
    <w:rsid w:val="00520BE7"/>
    <w:rsid w:val="00520E58"/>
    <w:rsid w:val="005324FA"/>
    <w:rsid w:val="00536912"/>
    <w:rsid w:val="005568DA"/>
    <w:rsid w:val="00582200"/>
    <w:rsid w:val="005865BE"/>
    <w:rsid w:val="005A0667"/>
    <w:rsid w:val="005A21EC"/>
    <w:rsid w:val="005A3532"/>
    <w:rsid w:val="005B623C"/>
    <w:rsid w:val="005B66F1"/>
    <w:rsid w:val="005B73A5"/>
    <w:rsid w:val="005C1E24"/>
    <w:rsid w:val="005C372A"/>
    <w:rsid w:val="005C45BF"/>
    <w:rsid w:val="005C5570"/>
    <w:rsid w:val="005D1B41"/>
    <w:rsid w:val="005D1C6F"/>
    <w:rsid w:val="005D5F9C"/>
    <w:rsid w:val="005E2A8C"/>
    <w:rsid w:val="00624880"/>
    <w:rsid w:val="0063341C"/>
    <w:rsid w:val="00640962"/>
    <w:rsid w:val="006450F3"/>
    <w:rsid w:val="00672FCF"/>
    <w:rsid w:val="00673345"/>
    <w:rsid w:val="006733E4"/>
    <w:rsid w:val="00680D75"/>
    <w:rsid w:val="006A3917"/>
    <w:rsid w:val="006B044E"/>
    <w:rsid w:val="006B0DBA"/>
    <w:rsid w:val="006C7402"/>
    <w:rsid w:val="006D106E"/>
    <w:rsid w:val="006E5777"/>
    <w:rsid w:val="006F24D5"/>
    <w:rsid w:val="006F6D59"/>
    <w:rsid w:val="007009B4"/>
    <w:rsid w:val="00713CE7"/>
    <w:rsid w:val="00714488"/>
    <w:rsid w:val="00720ADA"/>
    <w:rsid w:val="00746B4D"/>
    <w:rsid w:val="0076391F"/>
    <w:rsid w:val="007645E0"/>
    <w:rsid w:val="00766C0D"/>
    <w:rsid w:val="00771649"/>
    <w:rsid w:val="00787C0C"/>
    <w:rsid w:val="007940A7"/>
    <w:rsid w:val="0079457C"/>
    <w:rsid w:val="007978D7"/>
    <w:rsid w:val="007A1B85"/>
    <w:rsid w:val="007B61FD"/>
    <w:rsid w:val="007C3523"/>
    <w:rsid w:val="007C39C4"/>
    <w:rsid w:val="007D1D81"/>
    <w:rsid w:val="007D5DC8"/>
    <w:rsid w:val="007E1752"/>
    <w:rsid w:val="007E512E"/>
    <w:rsid w:val="007F6EFD"/>
    <w:rsid w:val="00811B0B"/>
    <w:rsid w:val="0082546A"/>
    <w:rsid w:val="008260A3"/>
    <w:rsid w:val="0083426B"/>
    <w:rsid w:val="00841730"/>
    <w:rsid w:val="00852C6F"/>
    <w:rsid w:val="008553DF"/>
    <w:rsid w:val="008559C1"/>
    <w:rsid w:val="008566C4"/>
    <w:rsid w:val="0086124A"/>
    <w:rsid w:val="00861592"/>
    <w:rsid w:val="00861BF0"/>
    <w:rsid w:val="008639B9"/>
    <w:rsid w:val="008744E3"/>
    <w:rsid w:val="00896A6A"/>
    <w:rsid w:val="008A044C"/>
    <w:rsid w:val="008A1EA2"/>
    <w:rsid w:val="008A30C4"/>
    <w:rsid w:val="008B0022"/>
    <w:rsid w:val="008D457C"/>
    <w:rsid w:val="008E0025"/>
    <w:rsid w:val="008F2F55"/>
    <w:rsid w:val="008F7314"/>
    <w:rsid w:val="009070E2"/>
    <w:rsid w:val="00917140"/>
    <w:rsid w:val="009275CE"/>
    <w:rsid w:val="009305F1"/>
    <w:rsid w:val="00935577"/>
    <w:rsid w:val="00944433"/>
    <w:rsid w:val="0094556B"/>
    <w:rsid w:val="00956F8C"/>
    <w:rsid w:val="00957A8D"/>
    <w:rsid w:val="009607AB"/>
    <w:rsid w:val="009640C2"/>
    <w:rsid w:val="009640CD"/>
    <w:rsid w:val="00971634"/>
    <w:rsid w:val="00971B77"/>
    <w:rsid w:val="0098625F"/>
    <w:rsid w:val="009930D4"/>
    <w:rsid w:val="00996158"/>
    <w:rsid w:val="009B680B"/>
    <w:rsid w:val="009B6DA5"/>
    <w:rsid w:val="009C4959"/>
    <w:rsid w:val="009C6F7D"/>
    <w:rsid w:val="009D5DCF"/>
    <w:rsid w:val="009D70BE"/>
    <w:rsid w:val="009E4BEE"/>
    <w:rsid w:val="009E6024"/>
    <w:rsid w:val="009E6927"/>
    <w:rsid w:val="00A00C53"/>
    <w:rsid w:val="00A05DFA"/>
    <w:rsid w:val="00A1379C"/>
    <w:rsid w:val="00A22D61"/>
    <w:rsid w:val="00A2403F"/>
    <w:rsid w:val="00A314ED"/>
    <w:rsid w:val="00A42A9C"/>
    <w:rsid w:val="00A44821"/>
    <w:rsid w:val="00A472C8"/>
    <w:rsid w:val="00A535B6"/>
    <w:rsid w:val="00A54FA2"/>
    <w:rsid w:val="00A56295"/>
    <w:rsid w:val="00A865A3"/>
    <w:rsid w:val="00AB6FA4"/>
    <w:rsid w:val="00AC300C"/>
    <w:rsid w:val="00AC769C"/>
    <w:rsid w:val="00AE31CD"/>
    <w:rsid w:val="00AE7324"/>
    <w:rsid w:val="00B00E73"/>
    <w:rsid w:val="00B03A4C"/>
    <w:rsid w:val="00B122BF"/>
    <w:rsid w:val="00B22BAF"/>
    <w:rsid w:val="00B32139"/>
    <w:rsid w:val="00B44A25"/>
    <w:rsid w:val="00B53ABE"/>
    <w:rsid w:val="00B5618B"/>
    <w:rsid w:val="00B64097"/>
    <w:rsid w:val="00B87C01"/>
    <w:rsid w:val="00B91546"/>
    <w:rsid w:val="00BA0B8E"/>
    <w:rsid w:val="00BA3E65"/>
    <w:rsid w:val="00BA5D80"/>
    <w:rsid w:val="00BC64E0"/>
    <w:rsid w:val="00BD11D6"/>
    <w:rsid w:val="00BD2EC0"/>
    <w:rsid w:val="00BE1FC1"/>
    <w:rsid w:val="00BE5D56"/>
    <w:rsid w:val="00BF4AEF"/>
    <w:rsid w:val="00BF6683"/>
    <w:rsid w:val="00C0458B"/>
    <w:rsid w:val="00C206F5"/>
    <w:rsid w:val="00C2162B"/>
    <w:rsid w:val="00C44BB7"/>
    <w:rsid w:val="00C71500"/>
    <w:rsid w:val="00C73BA6"/>
    <w:rsid w:val="00C741D1"/>
    <w:rsid w:val="00C84EE9"/>
    <w:rsid w:val="00C9208B"/>
    <w:rsid w:val="00C946EA"/>
    <w:rsid w:val="00C9607D"/>
    <w:rsid w:val="00CA4C39"/>
    <w:rsid w:val="00CE197D"/>
    <w:rsid w:val="00CF2B65"/>
    <w:rsid w:val="00CF4550"/>
    <w:rsid w:val="00D0549C"/>
    <w:rsid w:val="00D2129C"/>
    <w:rsid w:val="00D3073E"/>
    <w:rsid w:val="00D66D58"/>
    <w:rsid w:val="00D72B1B"/>
    <w:rsid w:val="00D841CD"/>
    <w:rsid w:val="00DA6613"/>
    <w:rsid w:val="00DC0832"/>
    <w:rsid w:val="00DD7F07"/>
    <w:rsid w:val="00DE2AF3"/>
    <w:rsid w:val="00DF2DEE"/>
    <w:rsid w:val="00DF4896"/>
    <w:rsid w:val="00DF4B89"/>
    <w:rsid w:val="00DF5A7C"/>
    <w:rsid w:val="00E05475"/>
    <w:rsid w:val="00E05E56"/>
    <w:rsid w:val="00E06F79"/>
    <w:rsid w:val="00E12DD4"/>
    <w:rsid w:val="00E12F0E"/>
    <w:rsid w:val="00E14D3D"/>
    <w:rsid w:val="00E2042A"/>
    <w:rsid w:val="00E22E83"/>
    <w:rsid w:val="00E31F80"/>
    <w:rsid w:val="00E45866"/>
    <w:rsid w:val="00E45ADD"/>
    <w:rsid w:val="00E61C59"/>
    <w:rsid w:val="00E65C9A"/>
    <w:rsid w:val="00E70E99"/>
    <w:rsid w:val="00E841D2"/>
    <w:rsid w:val="00E90A23"/>
    <w:rsid w:val="00EA14D6"/>
    <w:rsid w:val="00EB5192"/>
    <w:rsid w:val="00EC17B3"/>
    <w:rsid w:val="00EE004B"/>
    <w:rsid w:val="00F123C4"/>
    <w:rsid w:val="00F21407"/>
    <w:rsid w:val="00F315B0"/>
    <w:rsid w:val="00F37143"/>
    <w:rsid w:val="00F406A1"/>
    <w:rsid w:val="00F66872"/>
    <w:rsid w:val="00F66B4D"/>
    <w:rsid w:val="00F67164"/>
    <w:rsid w:val="00F67C3C"/>
    <w:rsid w:val="00F80037"/>
    <w:rsid w:val="00F8155D"/>
    <w:rsid w:val="00F82901"/>
    <w:rsid w:val="00F837A2"/>
    <w:rsid w:val="00F93062"/>
    <w:rsid w:val="00FA1E03"/>
    <w:rsid w:val="00FB2E56"/>
    <w:rsid w:val="00FB3ABB"/>
    <w:rsid w:val="00FB4F26"/>
    <w:rsid w:val="00FD6DF0"/>
    <w:rsid w:val="00FE3CFA"/>
    <w:rsid w:val="00FF00AF"/>
    <w:rsid w:val="00FF1928"/>
    <w:rsid w:val="00FF4EA7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3D6495F-6779-4086-ABAB-CD74A8E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7721"/>
    <w:rPr>
      <w:rFonts w:ascii="Calibri" w:eastAsiaTheme="minorHAnsi" w:hAnsi="Calibri" w:cs="Calibri"/>
      <w:sz w:val="22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4255B7"/>
    <w:pPr>
      <w:keepNext/>
      <w:keepLines/>
      <w:spacing w:before="240"/>
      <w:outlineLvl w:val="0"/>
    </w:pPr>
    <w:rPr>
      <w:rFonts w:cs="Arial"/>
      <w:b/>
      <w:bCs/>
      <w:kern w:val="32"/>
      <w:sz w:val="26"/>
      <w:szCs w:val="32"/>
    </w:rPr>
  </w:style>
  <w:style w:type="paragraph" w:styleId="Naslov2">
    <w:name w:val="heading 2"/>
    <w:basedOn w:val="Naslov1"/>
    <w:next w:val="Navaden"/>
    <w:link w:val="Naslov2Znak"/>
    <w:uiPriority w:val="9"/>
    <w:qFormat/>
    <w:rsid w:val="00766C0D"/>
    <w:pPr>
      <w:outlineLvl w:val="1"/>
    </w:pPr>
    <w:rPr>
      <w:bCs w:val="0"/>
      <w:i/>
      <w:iCs/>
      <w:sz w:val="24"/>
      <w:szCs w:val="28"/>
    </w:rPr>
  </w:style>
  <w:style w:type="paragraph" w:styleId="Naslov3">
    <w:name w:val="heading 3"/>
    <w:basedOn w:val="Naslov1"/>
    <w:next w:val="Navaden"/>
    <w:qFormat/>
    <w:rsid w:val="004255B7"/>
    <w:pPr>
      <w:outlineLvl w:val="2"/>
    </w:pPr>
    <w:rPr>
      <w:bCs w:val="0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4255B7"/>
    <w:pPr>
      <w:keepNext/>
      <w:keepLines/>
      <w:spacing w:before="480"/>
      <w:outlineLvl w:val="0"/>
    </w:pPr>
    <w:rPr>
      <w:rFonts w:cs="Arial"/>
      <w:b/>
      <w:bCs/>
      <w:kern w:val="28"/>
      <w:sz w:val="30"/>
      <w:szCs w:val="32"/>
    </w:rPr>
  </w:style>
  <w:style w:type="table" w:customStyle="1" w:styleId="Tabela-osnovna">
    <w:name w:val="Tabela - osnovna"/>
    <w:basedOn w:val="Navadnatabela"/>
    <w:rsid w:val="00624880"/>
    <w:rPr>
      <w:rFonts w:ascii="Tahoma" w:hAnsi="Tahoma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rFonts w:ascii="Calibri Light" w:hAnsi="Calibri Light"/>
        <w:b/>
      </w:rPr>
      <w:tblPr/>
      <w:tcPr>
        <w:tcBorders>
          <w:bottom w:val="single" w:sz="8" w:space="0" w:color="auto"/>
        </w:tcBorders>
      </w:tcPr>
    </w:tblStylePr>
    <w:tblStylePr w:type="lastRow">
      <w:tblPr/>
      <w:tcPr>
        <w:tcBorders>
          <w:bottom w:val="single" w:sz="8" w:space="0" w:color="auto"/>
        </w:tcBorders>
      </w:tcPr>
    </w:tblStylePr>
  </w:style>
  <w:style w:type="paragraph" w:styleId="Glava">
    <w:name w:val="header"/>
    <w:basedOn w:val="Navaden"/>
    <w:rsid w:val="006A3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A3917"/>
    <w:pPr>
      <w:tabs>
        <w:tab w:val="center" w:pos="4536"/>
        <w:tab w:val="right" w:pos="9072"/>
      </w:tabs>
    </w:pPr>
  </w:style>
  <w:style w:type="character" w:customStyle="1" w:styleId="Naslov2Znak">
    <w:name w:val="Naslov 2 Znak"/>
    <w:link w:val="Naslov2"/>
    <w:uiPriority w:val="9"/>
    <w:rsid w:val="00F37143"/>
    <w:rPr>
      <w:rFonts w:ascii="Tahoma" w:hAnsi="Tahoma" w:cs="Arial"/>
      <w:b/>
      <w:i/>
      <w:iCs/>
      <w:kern w:val="32"/>
      <w:sz w:val="24"/>
      <w:szCs w:val="28"/>
    </w:rPr>
  </w:style>
  <w:style w:type="character" w:styleId="Krepko">
    <w:name w:val="Strong"/>
    <w:uiPriority w:val="22"/>
    <w:qFormat/>
    <w:rsid w:val="00F37143"/>
    <w:rPr>
      <w:b/>
      <w:bCs/>
    </w:rPr>
  </w:style>
  <w:style w:type="character" w:styleId="Hiperpovezava">
    <w:name w:val="Hyperlink"/>
    <w:uiPriority w:val="99"/>
    <w:unhideWhenUsed/>
    <w:rsid w:val="00F37143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3714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Privzetapisavaodstavka"/>
    <w:rsid w:val="00354CA5"/>
  </w:style>
  <w:style w:type="paragraph" w:styleId="Odstavekseznama">
    <w:name w:val="List Paragraph"/>
    <w:basedOn w:val="Navaden"/>
    <w:uiPriority w:val="34"/>
    <w:qFormat/>
    <w:rsid w:val="000E1CB3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Odstavekseznama1">
    <w:name w:val="Odstavek seznama1"/>
    <w:basedOn w:val="Navaden"/>
    <w:rsid w:val="001A64D7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AE31CD"/>
    <w:rPr>
      <w:rFonts w:ascii="Tahoma" w:hAnsi="Tahoma" w:cs="Arial"/>
      <w:b/>
      <w:bCs/>
      <w:kern w:val="32"/>
      <w:sz w:val="26"/>
      <w:szCs w:val="32"/>
    </w:rPr>
  </w:style>
  <w:style w:type="paragraph" w:customStyle="1" w:styleId="Standard">
    <w:name w:val="Standard"/>
    <w:rsid w:val="00E05E56"/>
    <w:pPr>
      <w:widowControl w:val="0"/>
      <w:suppressAutoHyphens/>
      <w:autoSpaceDN w:val="0"/>
      <w:textAlignment w:val="baseline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SledenaHiperpovezava">
    <w:name w:val="FollowedHyperlink"/>
    <w:basedOn w:val="Privzetapisavaodstavka"/>
    <w:rsid w:val="00335642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4E7721"/>
    <w:rPr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E7721"/>
    <w:rPr>
      <w:rFonts w:ascii="Calibri" w:eastAsiaTheme="minorHAns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0C276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C276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5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503">
                          <w:marLeft w:val="0"/>
                          <w:marRight w:val="450"/>
                          <w:marTop w:val="18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14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21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6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7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436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06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con\AppData\Roaming\Microsoft\Templates\vzor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vzorec.dotx</Template>
  <TotalTime>2</TotalTime>
  <Pages>2</Pages>
  <Words>774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Tajda Pelicon</dc:creator>
  <cp:keywords/>
  <dc:description/>
  <cp:lastModifiedBy>Tajda Pelicon</cp:lastModifiedBy>
  <cp:revision>3</cp:revision>
  <cp:lastPrinted>2018-01-18T12:42:00Z</cp:lastPrinted>
  <dcterms:created xsi:type="dcterms:W3CDTF">2018-01-18T12:42:00Z</dcterms:created>
  <dcterms:modified xsi:type="dcterms:W3CDTF">2018-01-18T12:44:00Z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iv">
    <vt:lpwstr>naziv</vt:lpwstr>
  </property>
  <property fmtid="{D5CDD505-2E9C-101B-9397-08002B2CF9AE}" pid="3" name="ulica">
    <vt:lpwstr>ulica</vt:lpwstr>
  </property>
  <property fmtid="{D5CDD505-2E9C-101B-9397-08002B2CF9AE}" pid="4" name="kraj">
    <vt:lpwstr>kraj</vt:lpwstr>
  </property>
  <property fmtid="{D5CDD505-2E9C-101B-9397-08002B2CF9AE}" pid="5" name="telefon">
    <vt:lpwstr>telefon</vt:lpwstr>
  </property>
  <property fmtid="{D5CDD505-2E9C-101B-9397-08002B2CF9AE}" pid="6" name="telefaks">
    <vt:lpwstr>telefaks</vt:lpwstr>
  </property>
  <property fmtid="{D5CDD505-2E9C-101B-9397-08002B2CF9AE}" pid="7" name="email">
    <vt:lpwstr>email</vt:lpwstr>
  </property>
  <property fmtid="{D5CDD505-2E9C-101B-9397-08002B2CF9AE}" pid="8" name="web">
    <vt:lpwstr>web</vt:lpwstr>
  </property>
  <property fmtid="{D5CDD505-2E9C-101B-9397-08002B2CF9AE}" pid="9" name="naziv_tuj">
    <vt:lpwstr>naziv_tuj</vt:lpwstr>
  </property>
  <property fmtid="{D5CDD505-2E9C-101B-9397-08002B2CF9AE}" pid="10" name="telefon_tuj">
    <vt:lpwstr>telefon_tuj</vt:lpwstr>
  </property>
  <property fmtid="{D5CDD505-2E9C-101B-9397-08002B2CF9AE}" pid="11" name="telefaks_tuj">
    <vt:lpwstr>telefaks_tuj</vt:lpwstr>
  </property>
</Properties>
</file>