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29" w:rsidRPr="007D6797" w:rsidRDefault="003E0C29" w:rsidP="003E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7D6797">
        <w:rPr>
          <w:rFonts w:ascii="Verdana" w:hAnsi="Verdana"/>
          <w:b/>
          <w:sz w:val="20"/>
          <w:szCs w:val="20"/>
        </w:rPr>
        <w:t>Zaključki Posveta</w:t>
      </w:r>
    </w:p>
    <w:p w:rsidR="003E0C29" w:rsidRDefault="003E0C29" w:rsidP="003E0C29">
      <w:pPr>
        <w:ind w:right="-568"/>
        <w:jc w:val="both"/>
        <w:rPr>
          <w:rFonts w:ascii="Verdana" w:hAnsi="Verdana"/>
          <w:sz w:val="20"/>
          <w:szCs w:val="20"/>
        </w:rPr>
      </w:pPr>
    </w:p>
    <w:p w:rsidR="003E0C29" w:rsidRDefault="003E0C29" w:rsidP="003E0C29">
      <w:pPr>
        <w:ind w:right="-5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osnovi predstavljenih prispevkov in razprave na posvetu </w:t>
      </w:r>
    </w:p>
    <w:p w:rsidR="003E0C29" w:rsidRDefault="003E0C29" w:rsidP="003E0C29">
      <w:pPr>
        <w:ind w:right="-568"/>
        <w:jc w:val="both"/>
        <w:rPr>
          <w:rFonts w:ascii="Verdana" w:hAnsi="Verdana"/>
          <w:sz w:val="20"/>
          <w:szCs w:val="20"/>
        </w:rPr>
      </w:pPr>
    </w:p>
    <w:p w:rsidR="003E0C29" w:rsidRDefault="003E0C29" w:rsidP="003E0C29">
      <w:pPr>
        <w:ind w:right="-568"/>
        <w:jc w:val="both"/>
        <w:rPr>
          <w:rFonts w:ascii="Verdana" w:hAnsi="Verdana"/>
          <w:sz w:val="20"/>
          <w:szCs w:val="20"/>
        </w:rPr>
      </w:pPr>
      <w:r w:rsidRPr="00641B21">
        <w:rPr>
          <w:rFonts w:ascii="Verdana" w:hAnsi="Verdana"/>
          <w:b/>
          <w:sz w:val="20"/>
          <w:szCs w:val="20"/>
        </w:rPr>
        <w:t>»Svetovalni inženir</w:t>
      </w:r>
      <w:r>
        <w:rPr>
          <w:rFonts w:ascii="Verdana" w:hAnsi="Verdana"/>
          <w:b/>
          <w:sz w:val="20"/>
          <w:szCs w:val="20"/>
        </w:rPr>
        <w:t>ing</w:t>
      </w:r>
      <w:r w:rsidRPr="00641B21">
        <w:rPr>
          <w:rFonts w:ascii="Verdana" w:hAnsi="Verdana"/>
          <w:b/>
          <w:sz w:val="20"/>
          <w:szCs w:val="20"/>
        </w:rPr>
        <w:t xml:space="preserve"> in njegova vloga </w:t>
      </w:r>
      <w:r>
        <w:rPr>
          <w:rFonts w:ascii="Verdana" w:hAnsi="Verdana"/>
          <w:b/>
          <w:sz w:val="20"/>
          <w:szCs w:val="20"/>
        </w:rPr>
        <w:t>v investicijskem procesu«</w:t>
      </w:r>
    </w:p>
    <w:p w:rsidR="003E0C29" w:rsidRDefault="003E0C29" w:rsidP="003E0C29">
      <w:pPr>
        <w:ind w:right="-568"/>
        <w:jc w:val="both"/>
        <w:rPr>
          <w:rFonts w:ascii="Verdana" w:hAnsi="Verdana"/>
          <w:sz w:val="20"/>
          <w:szCs w:val="20"/>
        </w:rPr>
      </w:pPr>
    </w:p>
    <w:p w:rsidR="003E0C29" w:rsidRDefault="003E0C29" w:rsidP="003E0C29">
      <w:pPr>
        <w:ind w:right="-5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 Organizacijski</w:t>
      </w:r>
      <w:r w:rsidRPr="00073795">
        <w:rPr>
          <w:rFonts w:ascii="Verdana" w:hAnsi="Verdana"/>
          <w:sz w:val="20"/>
          <w:szCs w:val="20"/>
        </w:rPr>
        <w:t xml:space="preserve"> in programski odbor posveta</w:t>
      </w:r>
      <w:r>
        <w:rPr>
          <w:rFonts w:ascii="Verdana" w:hAnsi="Verdana"/>
          <w:sz w:val="20"/>
          <w:szCs w:val="20"/>
        </w:rPr>
        <w:t xml:space="preserve"> v sestavi: </w:t>
      </w:r>
    </w:p>
    <w:p w:rsidR="003E0C29" w:rsidRDefault="003E0C29" w:rsidP="003E0C29">
      <w:pPr>
        <w:ind w:right="-568"/>
        <w:jc w:val="both"/>
        <w:rPr>
          <w:rFonts w:ascii="Verdana" w:hAnsi="Verdana"/>
          <w:sz w:val="20"/>
          <w:szCs w:val="20"/>
        </w:rPr>
      </w:pPr>
    </w:p>
    <w:p w:rsidR="003E0C29" w:rsidRPr="00D92BEE" w:rsidRDefault="003E0C29" w:rsidP="003E0C29">
      <w:pPr>
        <w:pStyle w:val="Odstavekseznama"/>
        <w:numPr>
          <w:ilvl w:val="0"/>
          <w:numId w:val="5"/>
        </w:numPr>
        <w:ind w:right="-568"/>
        <w:jc w:val="both"/>
        <w:rPr>
          <w:rFonts w:ascii="Verdana" w:hAnsi="Verdana"/>
          <w:sz w:val="20"/>
          <w:szCs w:val="20"/>
        </w:rPr>
      </w:pPr>
      <w:r w:rsidRPr="00D92BEE">
        <w:rPr>
          <w:rFonts w:ascii="Verdana" w:hAnsi="Verdana"/>
          <w:sz w:val="20"/>
          <w:szCs w:val="20"/>
        </w:rPr>
        <w:t xml:space="preserve">mag. Uroš Mikoš, IBE, </w:t>
      </w:r>
    </w:p>
    <w:p w:rsidR="003E0C29" w:rsidRPr="00D92BEE" w:rsidRDefault="003E0C29" w:rsidP="003E0C29">
      <w:pPr>
        <w:pStyle w:val="Odstavekseznama"/>
        <w:numPr>
          <w:ilvl w:val="0"/>
          <w:numId w:val="5"/>
        </w:numPr>
        <w:ind w:right="-568"/>
        <w:jc w:val="both"/>
        <w:rPr>
          <w:rFonts w:ascii="Verdana" w:hAnsi="Verdana"/>
          <w:sz w:val="20"/>
          <w:szCs w:val="20"/>
        </w:rPr>
      </w:pPr>
      <w:r w:rsidRPr="00D92BEE">
        <w:rPr>
          <w:rFonts w:ascii="Verdana" w:hAnsi="Verdana"/>
          <w:sz w:val="20"/>
          <w:szCs w:val="20"/>
        </w:rPr>
        <w:t xml:space="preserve">Aleš Hojs, DRI, </w:t>
      </w:r>
    </w:p>
    <w:p w:rsidR="003E0C29" w:rsidRPr="00D92BEE" w:rsidRDefault="003E0C29" w:rsidP="003E0C29">
      <w:pPr>
        <w:pStyle w:val="Odstavekseznama"/>
        <w:numPr>
          <w:ilvl w:val="0"/>
          <w:numId w:val="5"/>
        </w:numPr>
        <w:ind w:right="-568"/>
        <w:jc w:val="both"/>
        <w:rPr>
          <w:rFonts w:ascii="Verdana" w:hAnsi="Verdana"/>
          <w:sz w:val="20"/>
          <w:szCs w:val="20"/>
        </w:rPr>
      </w:pPr>
      <w:r w:rsidRPr="00D92BEE">
        <w:rPr>
          <w:rFonts w:ascii="Verdana" w:hAnsi="Verdana"/>
          <w:sz w:val="20"/>
          <w:szCs w:val="20"/>
        </w:rPr>
        <w:t xml:space="preserve">Peter Žigante, Savaprojekt, </w:t>
      </w:r>
    </w:p>
    <w:p w:rsidR="003E0C29" w:rsidRPr="00D92BEE" w:rsidRDefault="003E0C29" w:rsidP="003E0C29">
      <w:pPr>
        <w:pStyle w:val="Odstavekseznama"/>
        <w:numPr>
          <w:ilvl w:val="0"/>
          <w:numId w:val="5"/>
        </w:numPr>
        <w:ind w:right="-568"/>
        <w:jc w:val="both"/>
        <w:rPr>
          <w:rFonts w:ascii="Verdana" w:hAnsi="Verdana"/>
          <w:sz w:val="20"/>
          <w:szCs w:val="20"/>
        </w:rPr>
      </w:pPr>
      <w:r w:rsidRPr="00D92BEE">
        <w:rPr>
          <w:rFonts w:ascii="Verdana" w:hAnsi="Verdana"/>
          <w:sz w:val="20"/>
          <w:szCs w:val="20"/>
        </w:rPr>
        <w:t xml:space="preserve">Tadej Pfajfar, LUZ, </w:t>
      </w:r>
    </w:p>
    <w:p w:rsidR="003E0C29" w:rsidRPr="00D92BEE" w:rsidRDefault="003E0C29" w:rsidP="003E0C29">
      <w:pPr>
        <w:pStyle w:val="Odstavekseznama"/>
        <w:numPr>
          <w:ilvl w:val="0"/>
          <w:numId w:val="5"/>
        </w:numPr>
        <w:ind w:right="-568"/>
        <w:jc w:val="both"/>
        <w:rPr>
          <w:rFonts w:ascii="Verdana" w:hAnsi="Verdana"/>
          <w:sz w:val="20"/>
          <w:szCs w:val="20"/>
        </w:rPr>
      </w:pPr>
      <w:r w:rsidRPr="00D92BEE">
        <w:rPr>
          <w:rFonts w:ascii="Verdana" w:hAnsi="Verdana"/>
          <w:sz w:val="20"/>
          <w:szCs w:val="20"/>
        </w:rPr>
        <w:t xml:space="preserve">Samo Peter Medved, Lineal in </w:t>
      </w:r>
    </w:p>
    <w:p w:rsidR="003E0C29" w:rsidRPr="00D92BEE" w:rsidRDefault="003E0C29" w:rsidP="003E0C29">
      <w:pPr>
        <w:pStyle w:val="Odstavekseznama"/>
        <w:numPr>
          <w:ilvl w:val="0"/>
          <w:numId w:val="5"/>
        </w:numPr>
        <w:ind w:right="-568"/>
        <w:jc w:val="both"/>
        <w:rPr>
          <w:rFonts w:ascii="Verdana" w:hAnsi="Verdana"/>
          <w:sz w:val="20"/>
          <w:szCs w:val="20"/>
        </w:rPr>
      </w:pPr>
      <w:r w:rsidRPr="00D92BEE">
        <w:rPr>
          <w:rFonts w:ascii="Verdana" w:hAnsi="Verdana"/>
          <w:sz w:val="20"/>
          <w:szCs w:val="20"/>
        </w:rPr>
        <w:t>Slovenko Henigman, GZS-ZSI</w:t>
      </w:r>
    </w:p>
    <w:p w:rsidR="003E0C29" w:rsidRDefault="003E0C29" w:rsidP="003E0C29">
      <w:pPr>
        <w:ind w:right="-568"/>
        <w:jc w:val="both"/>
        <w:rPr>
          <w:rFonts w:ascii="Verdana" w:hAnsi="Verdana"/>
          <w:sz w:val="20"/>
          <w:szCs w:val="20"/>
        </w:rPr>
      </w:pPr>
    </w:p>
    <w:p w:rsidR="003E0C29" w:rsidRDefault="003E0C29" w:rsidP="003E0C29">
      <w:pPr>
        <w:ind w:right="-568"/>
        <w:jc w:val="both"/>
        <w:rPr>
          <w:rFonts w:ascii="Verdana" w:hAnsi="Verdana"/>
          <w:sz w:val="20"/>
          <w:szCs w:val="20"/>
        </w:rPr>
      </w:pPr>
      <w:r w:rsidRPr="00073795">
        <w:rPr>
          <w:rFonts w:ascii="Verdana" w:hAnsi="Verdana"/>
          <w:sz w:val="20"/>
          <w:szCs w:val="20"/>
        </w:rPr>
        <w:t>oblikoval naslednje zaključke:</w:t>
      </w:r>
    </w:p>
    <w:p w:rsidR="003E0C29" w:rsidRDefault="003E0C29" w:rsidP="003E0C29">
      <w:pPr>
        <w:ind w:right="-568"/>
        <w:jc w:val="both"/>
        <w:rPr>
          <w:rFonts w:ascii="Verdana" w:hAnsi="Verdana"/>
          <w:sz w:val="20"/>
          <w:szCs w:val="20"/>
        </w:rPr>
      </w:pPr>
    </w:p>
    <w:p w:rsidR="003E0C29" w:rsidRDefault="003E0C29" w:rsidP="003E0C29">
      <w:pPr>
        <w:numPr>
          <w:ilvl w:val="0"/>
          <w:numId w:val="4"/>
        </w:numPr>
        <w:ind w:right="-568"/>
        <w:jc w:val="both"/>
        <w:rPr>
          <w:rFonts w:ascii="Verdana" w:hAnsi="Verdana"/>
          <w:b/>
          <w:sz w:val="20"/>
          <w:szCs w:val="20"/>
        </w:rPr>
      </w:pPr>
      <w:r w:rsidRPr="00D31074">
        <w:rPr>
          <w:rFonts w:ascii="Verdana" w:hAnsi="Verdana"/>
          <w:b/>
          <w:sz w:val="20"/>
          <w:szCs w:val="20"/>
        </w:rPr>
        <w:t>Svetovalni inženiring je pomembna gospodarska dejavnost, ki izvaja storitve v celotnem investicijskem procesu (umeščanje v prostor, projektiranje, nadzor, predaja objektov, vzdrževanje in upravljanje ter ostalo svetovanje) in je zelo koristna pri prodoru izvedbenih inženiringov, izvajalskih podjetij ter podizvajalcev investicijske opreme na tuje trge.</w:t>
      </w:r>
    </w:p>
    <w:p w:rsidR="003E0C29" w:rsidRPr="00D31074" w:rsidRDefault="003E0C29" w:rsidP="003E0C29">
      <w:pPr>
        <w:ind w:left="720" w:right="-568"/>
        <w:jc w:val="both"/>
        <w:rPr>
          <w:rFonts w:ascii="Verdana" w:hAnsi="Verdana"/>
          <w:b/>
          <w:sz w:val="20"/>
          <w:szCs w:val="20"/>
        </w:rPr>
      </w:pPr>
    </w:p>
    <w:p w:rsidR="003E0C29" w:rsidRPr="00D92BEE" w:rsidRDefault="003E0C29" w:rsidP="003E0C29">
      <w:pPr>
        <w:numPr>
          <w:ilvl w:val="0"/>
          <w:numId w:val="4"/>
        </w:numPr>
        <w:ind w:right="-568"/>
        <w:jc w:val="both"/>
        <w:rPr>
          <w:rFonts w:ascii="Verdana" w:hAnsi="Verdana"/>
          <w:b/>
          <w:sz w:val="20"/>
          <w:szCs w:val="20"/>
        </w:rPr>
      </w:pPr>
      <w:r w:rsidRPr="00D31074">
        <w:rPr>
          <w:rFonts w:ascii="Verdana" w:hAnsi="Verdana"/>
          <w:b/>
          <w:sz w:val="20"/>
          <w:szCs w:val="20"/>
        </w:rPr>
        <w:t xml:space="preserve">Vsi ekonomski in poslovni kazalci delovanja svetovalnih inženiringov v Sloveniji so po letu 2008 konstantno negativni, kar pomeni, da se intelektualni in kadrovski potencial dejavnosti in v njej delujočih podjetij slabi. Tudi povečano število subjektov (d.o.o. in s.p.) v tem kontekstu je smatrati kot negativno dejstvo, saj ta podjetja nastajajo kot posledica </w:t>
      </w:r>
      <w:r w:rsidRPr="00D92BEE">
        <w:rPr>
          <w:rFonts w:ascii="Verdana" w:hAnsi="Verdana"/>
          <w:b/>
          <w:sz w:val="20"/>
          <w:szCs w:val="20"/>
        </w:rPr>
        <w:t>zmanjšanja zaposlenih v večjih podjetjih.</w:t>
      </w:r>
    </w:p>
    <w:p w:rsidR="003E0C29" w:rsidRPr="00D92BEE" w:rsidRDefault="003E0C29" w:rsidP="003E0C29">
      <w:pPr>
        <w:ind w:right="-568"/>
        <w:jc w:val="both"/>
        <w:rPr>
          <w:rFonts w:ascii="Verdana" w:hAnsi="Verdana"/>
          <w:b/>
          <w:sz w:val="20"/>
          <w:szCs w:val="20"/>
        </w:rPr>
      </w:pPr>
    </w:p>
    <w:p w:rsidR="003E0C29" w:rsidRPr="00D92BEE" w:rsidRDefault="003E0C29" w:rsidP="003E0C29">
      <w:pPr>
        <w:numPr>
          <w:ilvl w:val="0"/>
          <w:numId w:val="4"/>
        </w:numPr>
        <w:ind w:right="-568"/>
        <w:jc w:val="both"/>
        <w:rPr>
          <w:rFonts w:ascii="Verdana" w:hAnsi="Verdana"/>
          <w:b/>
          <w:sz w:val="20"/>
          <w:szCs w:val="20"/>
        </w:rPr>
      </w:pPr>
      <w:r w:rsidRPr="00D92BEE">
        <w:rPr>
          <w:rFonts w:ascii="Verdana" w:hAnsi="Verdana"/>
          <w:b/>
          <w:sz w:val="20"/>
          <w:szCs w:val="20"/>
        </w:rPr>
        <w:t xml:space="preserve">Zaradi zmanjšanja državnih in zasebnih investicij v prometno, energetsko in drugo infrastrukturo smo zaskrbljeni, pri čemer soglašamo s pristopom, ki je prvotno osredotočen na vzdrževanje in čim boljšo izkoriščenost obstoječega omrežja, ob sočasnem načrtovanju in izvedbi novih projektov. Za trajnostno izvedbo projektov je potrebno uveljaviti Zlato pravilo vlaganj v državno infrastrukturo. </w:t>
      </w:r>
    </w:p>
    <w:p w:rsidR="003E0C29" w:rsidRPr="00D92BEE" w:rsidRDefault="003E0C29" w:rsidP="003E0C29">
      <w:pPr>
        <w:ind w:left="720" w:right="-568"/>
        <w:jc w:val="both"/>
        <w:rPr>
          <w:rFonts w:ascii="Verdana" w:hAnsi="Verdana"/>
          <w:b/>
          <w:sz w:val="20"/>
          <w:szCs w:val="20"/>
        </w:rPr>
      </w:pPr>
      <w:r w:rsidRPr="00D92BEE">
        <w:rPr>
          <w:rFonts w:ascii="Verdana" w:hAnsi="Verdana"/>
          <w:b/>
          <w:sz w:val="20"/>
          <w:szCs w:val="20"/>
        </w:rPr>
        <w:t xml:space="preserve">Zlato pravilo pomeni </w:t>
      </w:r>
      <w:r w:rsidRPr="00D92BEE">
        <w:rPr>
          <w:rFonts w:ascii="Verdana" w:hAnsi="Verdana"/>
          <w:b/>
          <w:bCs/>
          <w:sz w:val="20"/>
          <w:szCs w:val="20"/>
        </w:rPr>
        <w:t>enakomerno planiranje in realizacijo projektov, 5 ali 6 letni drsni plan in</w:t>
      </w:r>
      <w:r w:rsidRPr="00D92BEE">
        <w:rPr>
          <w:rFonts w:ascii="Verdana" w:hAnsi="Verdana"/>
          <w:b/>
          <w:sz w:val="20"/>
          <w:szCs w:val="20"/>
        </w:rPr>
        <w:t xml:space="preserve"> e</w:t>
      </w:r>
      <w:r w:rsidRPr="00D92BEE">
        <w:rPr>
          <w:rFonts w:ascii="Verdana" w:hAnsi="Verdana"/>
          <w:b/>
          <w:bCs/>
          <w:sz w:val="20"/>
          <w:szCs w:val="20"/>
        </w:rPr>
        <w:t>nakomerna letna vlaganja v posamezne infrastrukturne sektorje kot so ceste, železnice, energetika, vode in drugo.</w:t>
      </w:r>
    </w:p>
    <w:p w:rsidR="003E0C29" w:rsidRPr="00D92BEE" w:rsidRDefault="003E0C29" w:rsidP="003E0C29">
      <w:pPr>
        <w:ind w:left="720" w:right="-568"/>
        <w:jc w:val="both"/>
        <w:rPr>
          <w:rFonts w:ascii="Verdana" w:hAnsi="Verdana"/>
          <w:b/>
          <w:sz w:val="20"/>
          <w:szCs w:val="20"/>
        </w:rPr>
      </w:pPr>
    </w:p>
    <w:p w:rsidR="003E0C29" w:rsidRPr="00D45D61" w:rsidRDefault="003E0C29" w:rsidP="003E0C29">
      <w:pPr>
        <w:numPr>
          <w:ilvl w:val="0"/>
          <w:numId w:val="4"/>
        </w:numPr>
        <w:ind w:right="-568"/>
        <w:jc w:val="both"/>
        <w:rPr>
          <w:rFonts w:ascii="Verdana" w:hAnsi="Verdana"/>
          <w:b/>
          <w:sz w:val="20"/>
          <w:szCs w:val="20"/>
        </w:rPr>
      </w:pPr>
      <w:r w:rsidRPr="00D92BEE">
        <w:rPr>
          <w:rFonts w:ascii="Verdana" w:hAnsi="Verdana"/>
          <w:b/>
          <w:sz w:val="20"/>
          <w:szCs w:val="20"/>
        </w:rPr>
        <w:t>Novi projekti prometne infrastrukture so ob upoštevanju prometnih napovedi Evropske Komisije in Slovenije, da se bo blagovni promet do leta 2030 glede na izhodiščno leto 2011 povečal za 50 % nujni, saj obstoječa infrastruktura ne bo dovolj zmogljiva. Vsekakor pa je v tem segmentu potrebno pritegniti tudi investitorje izven državnega proračuna.</w:t>
      </w:r>
    </w:p>
    <w:p w:rsidR="003E0C29" w:rsidRPr="00D92BEE" w:rsidRDefault="003E0C29" w:rsidP="003E0C29">
      <w:pPr>
        <w:ind w:right="-568"/>
        <w:jc w:val="both"/>
        <w:rPr>
          <w:rFonts w:ascii="Verdana" w:hAnsi="Verdana"/>
          <w:b/>
          <w:sz w:val="20"/>
          <w:szCs w:val="20"/>
        </w:rPr>
      </w:pPr>
    </w:p>
    <w:p w:rsidR="003E0C29" w:rsidRPr="00D92BEE" w:rsidRDefault="003E0C29" w:rsidP="003E0C29">
      <w:pPr>
        <w:numPr>
          <w:ilvl w:val="0"/>
          <w:numId w:val="4"/>
        </w:numPr>
        <w:ind w:right="-568"/>
        <w:jc w:val="both"/>
        <w:rPr>
          <w:rFonts w:ascii="Verdana" w:hAnsi="Verdana"/>
          <w:b/>
          <w:sz w:val="20"/>
          <w:szCs w:val="20"/>
        </w:rPr>
      </w:pPr>
      <w:r w:rsidRPr="00D92BEE">
        <w:rPr>
          <w:rFonts w:ascii="Verdana" w:hAnsi="Verdana"/>
          <w:b/>
          <w:sz w:val="20"/>
          <w:szCs w:val="20"/>
        </w:rPr>
        <w:t>Za uveljavitev boljše prakse javnega naročanja je potrebno za dejavnosti načrtovanja, nadzora in izvedbe del pripraviti vzorčne dokumentacije, ki bo uporabna za naročnike in sprejemljiva za DRK.</w:t>
      </w:r>
    </w:p>
    <w:p w:rsidR="003E0C29" w:rsidRPr="00D92BEE" w:rsidRDefault="003E0C29" w:rsidP="003E0C29">
      <w:pPr>
        <w:ind w:left="720" w:right="-568"/>
        <w:jc w:val="both"/>
        <w:rPr>
          <w:rFonts w:ascii="Verdana" w:hAnsi="Verdana"/>
          <w:b/>
          <w:sz w:val="20"/>
          <w:szCs w:val="20"/>
        </w:rPr>
      </w:pPr>
    </w:p>
    <w:p w:rsidR="003E0C29" w:rsidRDefault="003E0C29" w:rsidP="003E0C29">
      <w:pPr>
        <w:numPr>
          <w:ilvl w:val="0"/>
          <w:numId w:val="4"/>
        </w:numPr>
        <w:ind w:right="-568"/>
        <w:jc w:val="both"/>
        <w:rPr>
          <w:rFonts w:ascii="Verdana" w:hAnsi="Verdana"/>
          <w:b/>
          <w:sz w:val="20"/>
          <w:szCs w:val="20"/>
        </w:rPr>
      </w:pPr>
      <w:r w:rsidRPr="00D92BEE">
        <w:rPr>
          <w:rFonts w:ascii="Verdana" w:hAnsi="Verdana"/>
          <w:b/>
          <w:sz w:val="20"/>
          <w:szCs w:val="20"/>
        </w:rPr>
        <w:lastRenderedPageBreak/>
        <w:t>V nov ZGO, Zakon o graditvi objektov je potrebno vključiti svetovalnega inženirja, vodjo investicije.</w:t>
      </w:r>
    </w:p>
    <w:p w:rsidR="003E0C29" w:rsidRDefault="003E0C29" w:rsidP="003E0C29">
      <w:pPr>
        <w:pStyle w:val="Odstavekseznama"/>
        <w:rPr>
          <w:rFonts w:ascii="Verdana" w:hAnsi="Verdana"/>
          <w:b/>
          <w:sz w:val="20"/>
          <w:szCs w:val="20"/>
        </w:rPr>
      </w:pPr>
    </w:p>
    <w:p w:rsidR="003E0C29" w:rsidRPr="007D7506" w:rsidRDefault="003E0C29" w:rsidP="003E0C29">
      <w:pPr>
        <w:numPr>
          <w:ilvl w:val="0"/>
          <w:numId w:val="4"/>
        </w:numPr>
        <w:ind w:right="-56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Združenje za svetovalni inženiring pri GZS se pri izvedbi investicij zavzema za uvedbo BIM – informacijsko modeliranje objektov. </w:t>
      </w:r>
    </w:p>
    <w:p w:rsidR="008D0672" w:rsidRPr="00D15C81" w:rsidRDefault="008D0672" w:rsidP="00D15C81"/>
    <w:sectPr w:rsidR="008D0672" w:rsidRPr="00D15C81" w:rsidSect="008D0672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701" w:right="1701" w:bottom="1418" w:left="1701" w:header="426" w:footer="2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C29" w:rsidRDefault="003E0C29">
      <w:r>
        <w:separator/>
      </w:r>
    </w:p>
  </w:endnote>
  <w:endnote w:type="continuationSeparator" w:id="0">
    <w:p w:rsidR="003E0C29" w:rsidRDefault="003E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39" w:rsidRDefault="00202F39" w:rsidP="00202F39">
    <w:pPr>
      <w:pStyle w:val="Noga"/>
      <w:ind w:right="-1135"/>
      <w:jc w:val="right"/>
    </w:pPr>
    <w:r w:rsidRPr="00675AAE">
      <w:t xml:space="preserve">str. </w:t>
    </w:r>
    <w:r w:rsidRPr="00675AAE">
      <w:rPr>
        <w:rStyle w:val="tevilkastrani"/>
      </w:rPr>
      <w:fldChar w:fldCharType="begin"/>
    </w:r>
    <w:r w:rsidRPr="00675AAE">
      <w:rPr>
        <w:rStyle w:val="tevilkastrani"/>
      </w:rPr>
      <w:instrText xml:space="preserve">PAGE </w:instrText>
    </w:r>
    <w:r w:rsidRPr="00675AAE">
      <w:rPr>
        <w:rStyle w:val="tevilkastrani"/>
      </w:rPr>
      <w:fldChar w:fldCharType="separate"/>
    </w:r>
    <w:r w:rsidR="003E0C29">
      <w:rPr>
        <w:rStyle w:val="tevilkastrani"/>
        <w:noProof/>
      </w:rPr>
      <w:t>2</w:t>
    </w:r>
    <w:r w:rsidRPr="00675AAE">
      <w:rPr>
        <w:rStyle w:val="tevilkastrani"/>
      </w:rPr>
      <w:fldChar w:fldCharType="end"/>
    </w:r>
  </w:p>
  <w:p w:rsidR="00202F39" w:rsidRDefault="00202F39" w:rsidP="00675AA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C29" w:rsidRDefault="003E0C29">
      <w:r>
        <w:separator/>
      </w:r>
    </w:p>
  </w:footnote>
  <w:footnote w:type="continuationSeparator" w:id="0">
    <w:p w:rsidR="003E0C29" w:rsidRDefault="003E0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39" w:rsidRDefault="003E0C29" w:rsidP="007505BA">
    <w:pPr>
      <w:pStyle w:val="Glava"/>
      <w:ind w:left="-1134"/>
      <w:jc w:val="left"/>
    </w:pPr>
    <w:r>
      <w:rPr>
        <w:noProof/>
      </w:rPr>
      <w:drawing>
        <wp:inline distT="0" distB="0" distL="0" distR="0">
          <wp:extent cx="929640" cy="464820"/>
          <wp:effectExtent l="0" t="0" r="3810" b="0"/>
          <wp:docPr id="1" name="Slika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2F39" w:rsidRDefault="00202F39" w:rsidP="007505B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39" w:rsidRDefault="003E0C29" w:rsidP="005E78DA">
    <w:pPr>
      <w:pStyle w:val="Glava"/>
      <w:ind w:left="-1134"/>
      <w:jc w:val="left"/>
    </w:pPr>
    <w:r>
      <w:rPr>
        <w:noProof/>
      </w:rPr>
      <w:drawing>
        <wp:inline distT="0" distB="0" distL="0" distR="0">
          <wp:extent cx="929640" cy="464820"/>
          <wp:effectExtent l="0" t="0" r="3810" b="0"/>
          <wp:docPr id="2" name="Slika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4A63" w:rsidRPr="008B4EC5" w:rsidRDefault="00544A63" w:rsidP="00544A63">
    <w:pPr>
      <w:pStyle w:val="Glava"/>
      <w:pBdr>
        <w:bottom w:val="single" w:sz="18" w:space="1" w:color="808080"/>
      </w:pBdr>
      <w:spacing w:before="120" w:line="240" w:lineRule="exact"/>
      <w:ind w:left="-1134" w:right="-1135"/>
      <w:jc w:val="left"/>
      <w:rPr>
        <w:rFonts w:cs="Tahoma"/>
        <w:szCs w:val="14"/>
      </w:rPr>
    </w:pPr>
    <w:r w:rsidRPr="005748D9">
      <w:rPr>
        <w:rFonts w:cs="Tahoma"/>
        <w:noProof/>
        <w:szCs w:val="14"/>
      </w:rPr>
      <w:t xml:space="preserve">Združenje </w:t>
    </w:r>
    <w:r>
      <w:rPr>
        <w:rFonts w:cs="Tahoma"/>
        <w:noProof/>
        <w:szCs w:val="14"/>
      </w:rPr>
      <w:t xml:space="preserve">za </w:t>
    </w:r>
    <w:r w:rsidRPr="005748D9">
      <w:rPr>
        <w:rFonts w:cs="Tahoma"/>
        <w:noProof/>
        <w:szCs w:val="14"/>
      </w:rPr>
      <w:t>svetovalni inženiring</w:t>
    </w:r>
  </w:p>
  <w:p w:rsidR="00482164" w:rsidRDefault="00544A63" w:rsidP="00544A63">
    <w:pPr>
      <w:ind w:left="-1134" w:right="-1276"/>
      <w:rPr>
        <w:rFonts w:cs="Tahoma"/>
        <w:sz w:val="14"/>
        <w:szCs w:val="14"/>
      </w:rPr>
    </w:pPr>
    <w:r w:rsidRPr="005748D9">
      <w:rPr>
        <w:rFonts w:cs="Tahoma"/>
        <w:noProof/>
        <w:sz w:val="14"/>
        <w:szCs w:val="14"/>
      </w:rPr>
      <w:t>Dimičeva 13</w:t>
    </w:r>
    <w:r w:rsidRPr="008B4EC5">
      <w:rPr>
        <w:rFonts w:cs="Tahoma"/>
        <w:sz w:val="14"/>
        <w:szCs w:val="14"/>
      </w:rPr>
      <w:t xml:space="preserve"> </w:t>
    </w:r>
    <w:r w:rsidRPr="008B4EC5">
      <w:rPr>
        <w:rFonts w:cs="Tahoma"/>
        <w:color w:val="808080"/>
        <w:sz w:val="12"/>
        <w:szCs w:val="12"/>
      </w:rPr>
      <w:sym w:font="Wingdings" w:char="F06E"/>
    </w:r>
    <w:r w:rsidRPr="008B4EC5">
      <w:rPr>
        <w:rFonts w:cs="Tahoma"/>
        <w:sz w:val="14"/>
        <w:szCs w:val="14"/>
      </w:rPr>
      <w:t xml:space="preserve"> </w:t>
    </w:r>
    <w:r w:rsidRPr="005748D9">
      <w:rPr>
        <w:rFonts w:cs="Tahoma"/>
        <w:noProof/>
        <w:sz w:val="14"/>
        <w:szCs w:val="14"/>
      </w:rPr>
      <w:t>1504 Ljubljana</w:t>
    </w:r>
    <w:r w:rsidRPr="008B4EC5">
      <w:rPr>
        <w:rFonts w:cs="Tahoma"/>
        <w:sz w:val="14"/>
        <w:szCs w:val="14"/>
      </w:rPr>
      <w:t xml:space="preserve"> </w:t>
    </w:r>
    <w:r w:rsidRPr="008B4EC5">
      <w:rPr>
        <w:rFonts w:cs="Tahoma"/>
        <w:color w:val="808080"/>
        <w:sz w:val="12"/>
        <w:szCs w:val="12"/>
      </w:rPr>
      <w:sym w:font="Wingdings" w:char="F06E"/>
    </w:r>
    <w:r w:rsidRPr="008B4EC5">
      <w:rPr>
        <w:rFonts w:cs="Tahoma"/>
        <w:sz w:val="14"/>
        <w:szCs w:val="14"/>
      </w:rPr>
      <w:t xml:space="preserve"> T: </w:t>
    </w:r>
    <w:r w:rsidRPr="005748D9">
      <w:rPr>
        <w:rFonts w:cs="Tahoma"/>
        <w:noProof/>
        <w:sz w:val="14"/>
        <w:szCs w:val="14"/>
      </w:rPr>
      <w:t>(01) 58 98 254, 58 98 000</w:t>
    </w:r>
    <w:r w:rsidRPr="008B4EC5">
      <w:rPr>
        <w:rFonts w:cs="Tahoma"/>
        <w:sz w:val="14"/>
        <w:szCs w:val="14"/>
      </w:rPr>
      <w:t xml:space="preserve"> </w:t>
    </w:r>
    <w:r w:rsidRPr="008B4EC5">
      <w:rPr>
        <w:rFonts w:cs="Tahoma"/>
        <w:color w:val="808080"/>
        <w:sz w:val="12"/>
        <w:szCs w:val="12"/>
      </w:rPr>
      <w:sym w:font="Wingdings" w:char="F06E"/>
    </w:r>
    <w:r w:rsidRPr="008B4EC5">
      <w:rPr>
        <w:rFonts w:cs="Tahoma"/>
        <w:sz w:val="14"/>
        <w:szCs w:val="14"/>
      </w:rPr>
      <w:t xml:space="preserve"> F: </w:t>
    </w:r>
    <w:r w:rsidRPr="005748D9">
      <w:rPr>
        <w:rFonts w:cs="Tahoma"/>
        <w:noProof/>
        <w:sz w:val="14"/>
        <w:szCs w:val="14"/>
      </w:rPr>
      <w:t>(01) 58 98 200</w:t>
    </w:r>
    <w:r w:rsidRPr="008B4EC5">
      <w:rPr>
        <w:rFonts w:cs="Tahoma"/>
        <w:sz w:val="14"/>
        <w:szCs w:val="14"/>
      </w:rPr>
      <w:t xml:space="preserve"> </w:t>
    </w:r>
    <w:r w:rsidRPr="008B4EC5">
      <w:rPr>
        <w:rFonts w:cs="Tahoma"/>
        <w:color w:val="808080"/>
        <w:sz w:val="12"/>
        <w:szCs w:val="12"/>
      </w:rPr>
      <w:sym w:font="Wingdings" w:char="F06E"/>
    </w:r>
    <w:r w:rsidRPr="008B4EC5">
      <w:rPr>
        <w:rFonts w:cs="Tahoma"/>
        <w:sz w:val="14"/>
        <w:szCs w:val="14"/>
      </w:rPr>
      <w:t xml:space="preserve"> </w:t>
    </w:r>
    <w:r w:rsidRPr="005748D9">
      <w:rPr>
        <w:rFonts w:cs="Tahoma"/>
        <w:noProof/>
        <w:sz w:val="14"/>
        <w:szCs w:val="14"/>
      </w:rPr>
      <w:t>info@gzs.si</w:t>
    </w:r>
    <w:r w:rsidRPr="008B4EC5">
      <w:rPr>
        <w:rFonts w:cs="Tahoma"/>
        <w:sz w:val="14"/>
        <w:szCs w:val="14"/>
      </w:rPr>
      <w:t xml:space="preserve"> </w:t>
    </w:r>
    <w:r w:rsidRPr="008B4EC5">
      <w:rPr>
        <w:rFonts w:cs="Tahoma"/>
        <w:color w:val="808080"/>
        <w:sz w:val="12"/>
        <w:szCs w:val="12"/>
      </w:rPr>
      <w:sym w:font="Wingdings" w:char="F06E"/>
    </w:r>
    <w:r w:rsidRPr="008B4EC5">
      <w:rPr>
        <w:rFonts w:cs="Tahoma"/>
        <w:sz w:val="14"/>
        <w:szCs w:val="14"/>
      </w:rPr>
      <w:t xml:space="preserve"> </w:t>
    </w:r>
    <w:r w:rsidRPr="005748D9">
      <w:rPr>
        <w:rFonts w:cs="Tahoma"/>
        <w:noProof/>
        <w:sz w:val="14"/>
        <w:szCs w:val="14"/>
      </w:rPr>
      <w:t>www.gzs.si</w:t>
    </w:r>
  </w:p>
  <w:p w:rsidR="0038493C" w:rsidRDefault="0038493C" w:rsidP="0038493C">
    <w:pPr>
      <w:ind w:left="-1134"/>
      <w:rPr>
        <w:rFonts w:cs="Tahoma"/>
        <w:sz w:val="14"/>
        <w:szCs w:val="14"/>
      </w:rPr>
    </w:pPr>
  </w:p>
  <w:p w:rsidR="00202F39" w:rsidRDefault="00202F39" w:rsidP="005E78DA">
    <w:pPr>
      <w:pStyle w:val="Glava"/>
      <w:ind w:left="-1134"/>
      <w:jc w:val="left"/>
      <w:rPr>
        <w:rFonts w:cs="Tahoma"/>
        <w:szCs w:val="14"/>
      </w:rPr>
    </w:pPr>
  </w:p>
  <w:p w:rsidR="003E0C29" w:rsidRDefault="003E0C29" w:rsidP="005E78DA">
    <w:pPr>
      <w:pStyle w:val="Glava"/>
      <w:ind w:left="-1134"/>
      <w:jc w:val="left"/>
      <w:rPr>
        <w:rFonts w:cs="Tahoma"/>
        <w:szCs w:val="14"/>
      </w:rPr>
    </w:pPr>
  </w:p>
  <w:p w:rsidR="003E0C29" w:rsidRPr="008B4EC5" w:rsidRDefault="003E0C29" w:rsidP="005E78DA">
    <w:pPr>
      <w:pStyle w:val="Glava"/>
      <w:ind w:left="-1134"/>
      <w:jc w:val="left"/>
      <w:rPr>
        <w:rFonts w:cs="Tahoma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EC5A2B"/>
    <w:multiLevelType w:val="hybridMultilevel"/>
    <w:tmpl w:val="49580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81F2E"/>
    <w:multiLevelType w:val="hybridMultilevel"/>
    <w:tmpl w:val="A51CA248"/>
    <w:lvl w:ilvl="0" w:tplc="F5205B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4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</w:rPr>
      </w:lvl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29"/>
    <w:rsid w:val="00004589"/>
    <w:rsid w:val="00202F39"/>
    <w:rsid w:val="0038493C"/>
    <w:rsid w:val="003E0C29"/>
    <w:rsid w:val="00482164"/>
    <w:rsid w:val="004D2AD9"/>
    <w:rsid w:val="00544A63"/>
    <w:rsid w:val="005E78DA"/>
    <w:rsid w:val="00675AAE"/>
    <w:rsid w:val="00744415"/>
    <w:rsid w:val="007505BA"/>
    <w:rsid w:val="00812609"/>
    <w:rsid w:val="00847386"/>
    <w:rsid w:val="008B4EC5"/>
    <w:rsid w:val="008D0672"/>
    <w:rsid w:val="008F745B"/>
    <w:rsid w:val="00952A16"/>
    <w:rsid w:val="00A21A9E"/>
    <w:rsid w:val="00B24ED5"/>
    <w:rsid w:val="00BC7D30"/>
    <w:rsid w:val="00C8150F"/>
    <w:rsid w:val="00D15C81"/>
    <w:rsid w:val="00DF3EBA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7081B9-6793-482C-8DB0-5ABEA09D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C29"/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jc w:val="both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jc w:val="both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jc w:val="both"/>
      <w:outlineLvl w:val="2"/>
    </w:pPr>
    <w:rPr>
      <w:i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675AAE"/>
    <w:pPr>
      <w:tabs>
        <w:tab w:val="center" w:pos="4153"/>
        <w:tab w:val="right" w:pos="8306"/>
      </w:tabs>
      <w:jc w:val="center"/>
    </w:pPr>
    <w:rPr>
      <w:rFonts w:ascii="Verdana" w:hAnsi="Verdana"/>
      <w:sz w:val="14"/>
    </w:rPr>
  </w:style>
  <w:style w:type="paragraph" w:styleId="Noga">
    <w:name w:val="footer"/>
    <w:basedOn w:val="Navaden"/>
    <w:rsid w:val="00675AAE"/>
    <w:pPr>
      <w:tabs>
        <w:tab w:val="center" w:pos="4153"/>
        <w:tab w:val="right" w:pos="8306"/>
      </w:tabs>
    </w:pPr>
    <w:rPr>
      <w:rFonts w:ascii="Verdana" w:hAnsi="Verdana"/>
      <w:color w:val="000000"/>
      <w:sz w:val="14"/>
      <w:szCs w:val="14"/>
    </w:rPr>
  </w:style>
  <w:style w:type="character" w:styleId="tevilkastrani">
    <w:name w:val="page number"/>
    <w:basedOn w:val="Privzetapisavaodstavka"/>
    <w:rsid w:val="00675AAE"/>
  </w:style>
  <w:style w:type="paragraph" w:styleId="Oznaenseznam">
    <w:name w:val="List Bullet"/>
    <w:basedOn w:val="Navaden"/>
    <w:pPr>
      <w:ind w:left="357" w:hanging="357"/>
    </w:pPr>
  </w:style>
  <w:style w:type="paragraph" w:styleId="Oznaenseznam2">
    <w:name w:val="List Bullet 2"/>
    <w:basedOn w:val="Navaden"/>
    <w:pPr>
      <w:numPr>
        <w:numId w:val="1"/>
      </w:numPr>
    </w:pPr>
  </w:style>
  <w:style w:type="paragraph" w:styleId="Oznaenseznam3">
    <w:name w:val="List Bullet 3"/>
    <w:basedOn w:val="Navaden"/>
    <w:pPr>
      <w:numPr>
        <w:numId w:val="3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spacing w:before="240"/>
      <w:jc w:val="both"/>
    </w:pPr>
  </w:style>
  <w:style w:type="paragraph" w:customStyle="1" w:styleId="Vabilo">
    <w:name w:val="Vabilo"/>
    <w:basedOn w:val="Navaden"/>
    <w:next w:val="Navaden"/>
    <w:pPr>
      <w:spacing w:before="1440" w:after="480"/>
    </w:pPr>
    <w:rPr>
      <w:b/>
      <w:sz w:val="28"/>
    </w:rPr>
  </w:style>
  <w:style w:type="paragraph" w:styleId="Odstavekseznama">
    <w:name w:val="List Paragraph"/>
    <w:basedOn w:val="Navaden"/>
    <w:uiPriority w:val="34"/>
    <w:qFormat/>
    <w:rsid w:val="003E0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tasa\AppData\Roaming\Microsoft\Predloge\ZIS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3CC91C-5FB3-4B6D-8FFF-3358FE88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ZISP.dot</Template>
  <TotalTime>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Silva Rantasa</dc:creator>
  <cp:keywords/>
  <dc:description/>
  <cp:lastModifiedBy>Silva Rantasa</cp:lastModifiedBy>
  <cp:revision>1</cp:revision>
  <cp:lastPrinted>2007-01-10T08:44:00Z</cp:lastPrinted>
  <dcterms:created xsi:type="dcterms:W3CDTF">2015-10-23T10:54:00Z</dcterms:created>
  <dcterms:modified xsi:type="dcterms:W3CDTF">2015-10-23T10:57:00Z</dcterms:modified>
</cp:coreProperties>
</file>