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E0FBA61" w14:textId="77777777" w:rsidR="00AF15F8" w:rsidRDefault="00006122">
      <w:pPr>
        <w:jc w:val="both"/>
        <w:rPr>
          <w:rFonts w:cs="Tahoma"/>
        </w:rPr>
      </w:pPr>
      <w:r>
        <w:rPr>
          <w:noProof/>
          <w:lang w:eastAsia="sl-SI"/>
        </w:rPr>
        <w:drawing>
          <wp:inline distT="0" distB="0" distL="0" distR="0" wp14:anchorId="15CA5A73" wp14:editId="0EFCA1C8">
            <wp:extent cx="856615" cy="50228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02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anchor distT="0" distB="0" distL="114300" distR="114300" simplePos="0" relativeHeight="251657728" behindDoc="0" locked="0" layoutInCell="1" allowOverlap="1" wp14:anchorId="0CD72B62" wp14:editId="35A80B25">
            <wp:simplePos x="0" y="0"/>
            <wp:positionH relativeFrom="column">
              <wp:posOffset>4381500</wp:posOffset>
            </wp:positionH>
            <wp:positionV relativeFrom="paragraph">
              <wp:posOffset>10160</wp:posOffset>
            </wp:positionV>
            <wp:extent cx="2025015" cy="710565"/>
            <wp:effectExtent l="0" t="0" r="0" b="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710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DE50C" w14:textId="77777777" w:rsidR="00AF15F8" w:rsidRDefault="00AF15F8">
      <w:pPr>
        <w:jc w:val="both"/>
        <w:rPr>
          <w:rFonts w:cs="Tahoma"/>
        </w:rPr>
      </w:pPr>
    </w:p>
    <w:p w14:paraId="6EF8AD9C" w14:textId="7A6EFEE0" w:rsidR="00DF7925" w:rsidRDefault="00F207E5" w:rsidP="00DF7925">
      <w:pPr>
        <w:rPr>
          <w:rFonts w:cs="Tahoma"/>
          <w:b/>
          <w:color w:val="5C141F"/>
          <w:sz w:val="36"/>
          <w:szCs w:val="36"/>
        </w:rPr>
      </w:pPr>
      <w:r>
        <w:rPr>
          <w:rFonts w:cs="Tahoma"/>
          <w:b/>
          <w:color w:val="5C141F"/>
          <w:sz w:val="36"/>
          <w:szCs w:val="36"/>
        </w:rPr>
        <w:t>Kazenske carine na evropske izdelke z majhnim učinkom na Slovenijo</w:t>
      </w:r>
    </w:p>
    <w:p w14:paraId="552938F9" w14:textId="2CF0A3F6" w:rsidR="00AF15F8" w:rsidRDefault="00C44293" w:rsidP="00DF7925">
      <w:pPr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03</w:t>
      </w:r>
      <w:r w:rsidR="0083204A">
        <w:rPr>
          <w:rFonts w:cs="Tahoma"/>
          <w:sz w:val="16"/>
          <w:szCs w:val="16"/>
        </w:rPr>
        <w:t>.</w:t>
      </w:r>
      <w:r w:rsidR="007C28B3">
        <w:rPr>
          <w:rFonts w:cs="Tahoma"/>
          <w:sz w:val="16"/>
          <w:szCs w:val="16"/>
        </w:rPr>
        <w:t xml:space="preserve"> </w:t>
      </w:r>
      <w:r>
        <w:rPr>
          <w:rFonts w:cs="Tahoma"/>
          <w:sz w:val="16"/>
          <w:szCs w:val="16"/>
        </w:rPr>
        <w:t>10</w:t>
      </w:r>
      <w:r w:rsidR="00447444">
        <w:rPr>
          <w:rFonts w:cs="Tahoma"/>
          <w:sz w:val="16"/>
          <w:szCs w:val="16"/>
        </w:rPr>
        <w:t>. 2019</w:t>
      </w:r>
    </w:p>
    <w:p w14:paraId="297B99AD" w14:textId="2BF8457C" w:rsidR="00AF15F8" w:rsidRPr="000D2189" w:rsidRDefault="003952E0">
      <w:pPr>
        <w:shd w:val="clear" w:color="auto" w:fill="F2DBDB"/>
        <w:jc w:val="both"/>
        <w:rPr>
          <w:rFonts w:cs="Tahoma"/>
          <w:b/>
          <w:i/>
          <w:color w:val="000000"/>
          <w:sz w:val="21"/>
          <w:szCs w:val="21"/>
        </w:rPr>
      </w:pPr>
      <w:r>
        <w:rPr>
          <w:rFonts w:cs="Tahoma"/>
          <w:b/>
          <w:i/>
          <w:color w:val="000000"/>
          <w:sz w:val="21"/>
          <w:szCs w:val="21"/>
        </w:rPr>
        <w:t xml:space="preserve">Izvoz evropskih izdelkov v višini 6,9 mrd EUR bodo z 18. oktobrom predmet </w:t>
      </w:r>
      <w:r w:rsidR="00311177">
        <w:rPr>
          <w:rFonts w:cs="Tahoma"/>
          <w:b/>
          <w:i/>
          <w:color w:val="000000"/>
          <w:sz w:val="21"/>
          <w:szCs w:val="21"/>
        </w:rPr>
        <w:t>25-odstotnih</w:t>
      </w:r>
      <w:r>
        <w:rPr>
          <w:rFonts w:cs="Tahoma"/>
          <w:b/>
          <w:i/>
          <w:color w:val="000000"/>
          <w:sz w:val="21"/>
          <w:szCs w:val="21"/>
        </w:rPr>
        <w:t xml:space="preserve"> ameriških carin, kar predstavlja 1,7 % celotnega evropska izvoza v ZDA. Slovenija pri uvedbi teh carin neposredno ni prizadeta</w:t>
      </w:r>
      <w:r w:rsidR="00DB2FB9">
        <w:rPr>
          <w:rFonts w:cs="Tahoma"/>
          <w:b/>
          <w:i/>
          <w:color w:val="000000"/>
          <w:sz w:val="21"/>
          <w:szCs w:val="21"/>
        </w:rPr>
        <w:t xml:space="preserve">, </w:t>
      </w:r>
      <w:r w:rsidR="00ED4D37">
        <w:rPr>
          <w:rFonts w:cs="Tahoma"/>
          <w:b/>
          <w:i/>
          <w:color w:val="000000"/>
          <w:sz w:val="21"/>
          <w:szCs w:val="21"/>
        </w:rPr>
        <w:t xml:space="preserve">pa tudi </w:t>
      </w:r>
      <w:r w:rsidR="00DB2FB9">
        <w:rPr>
          <w:rFonts w:cs="Tahoma"/>
          <w:b/>
          <w:i/>
          <w:color w:val="000000"/>
          <w:sz w:val="21"/>
          <w:szCs w:val="21"/>
        </w:rPr>
        <w:t xml:space="preserve">posredno </w:t>
      </w:r>
      <w:r w:rsidR="00ED4D37">
        <w:rPr>
          <w:rFonts w:cs="Tahoma"/>
          <w:b/>
          <w:i/>
          <w:color w:val="000000"/>
          <w:sz w:val="21"/>
          <w:szCs w:val="21"/>
        </w:rPr>
        <w:t xml:space="preserve">ne, saj </w:t>
      </w:r>
      <w:bookmarkStart w:id="0" w:name="_GoBack"/>
      <w:bookmarkEnd w:id="0"/>
      <w:r w:rsidR="00DB2FB9">
        <w:rPr>
          <w:rFonts w:cs="Tahoma"/>
          <w:b/>
          <w:i/>
          <w:color w:val="000000"/>
          <w:sz w:val="21"/>
          <w:szCs w:val="21"/>
        </w:rPr>
        <w:t xml:space="preserve">je vpetost </w:t>
      </w:r>
      <w:r w:rsidR="00ED4D37">
        <w:rPr>
          <w:rFonts w:cs="Tahoma"/>
          <w:b/>
          <w:i/>
          <w:color w:val="000000"/>
          <w:sz w:val="21"/>
          <w:szCs w:val="21"/>
        </w:rPr>
        <w:t xml:space="preserve">slovenskih podjetij </w:t>
      </w:r>
      <w:r w:rsidR="00DB2FB9">
        <w:rPr>
          <w:rFonts w:cs="Tahoma"/>
          <w:b/>
          <w:i/>
          <w:color w:val="000000"/>
          <w:sz w:val="21"/>
          <w:szCs w:val="21"/>
        </w:rPr>
        <w:t>v nabavno verigo Airbusa majhna</w:t>
      </w:r>
      <w:r>
        <w:rPr>
          <w:rFonts w:cs="Tahoma"/>
          <w:b/>
          <w:i/>
          <w:color w:val="000000"/>
          <w:sz w:val="21"/>
          <w:szCs w:val="21"/>
        </w:rPr>
        <w:t xml:space="preserve">. </w:t>
      </w:r>
    </w:p>
    <w:p w14:paraId="05C346EF" w14:textId="67DE6A2D" w:rsidR="00ED6A59" w:rsidRDefault="00C44293" w:rsidP="008862D9">
      <w:pPr>
        <w:jc w:val="both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 xml:space="preserve">Odločitev </w:t>
      </w:r>
      <w:r w:rsidR="00311177">
        <w:rPr>
          <w:rFonts w:cs="Tahoma"/>
          <w:sz w:val="21"/>
          <w:szCs w:val="21"/>
        </w:rPr>
        <w:t xml:space="preserve">o </w:t>
      </w:r>
      <w:r w:rsidR="003952E0">
        <w:rPr>
          <w:rFonts w:cs="Tahoma"/>
          <w:sz w:val="21"/>
          <w:szCs w:val="21"/>
        </w:rPr>
        <w:t>uvedb</w:t>
      </w:r>
      <w:r w:rsidR="00311177">
        <w:rPr>
          <w:rFonts w:cs="Tahoma"/>
          <w:sz w:val="21"/>
          <w:szCs w:val="21"/>
        </w:rPr>
        <w:t>i</w:t>
      </w:r>
      <w:r w:rsidR="003952E0">
        <w:rPr>
          <w:rFonts w:cs="Tahoma"/>
          <w:sz w:val="21"/>
          <w:szCs w:val="21"/>
        </w:rPr>
        <w:t xml:space="preserve"> carin na skupino evropskih izdelkov je bila </w:t>
      </w:r>
      <w:r w:rsidR="00311177">
        <w:rPr>
          <w:rFonts w:cs="Tahoma"/>
          <w:sz w:val="21"/>
          <w:szCs w:val="21"/>
        </w:rPr>
        <w:t xml:space="preserve">delno </w:t>
      </w:r>
      <w:r w:rsidR="003952E0">
        <w:rPr>
          <w:rFonts w:cs="Tahoma"/>
          <w:sz w:val="21"/>
          <w:szCs w:val="21"/>
        </w:rPr>
        <w:t>pričakovana posledica razsodb</w:t>
      </w:r>
      <w:r w:rsidR="00311177">
        <w:rPr>
          <w:rFonts w:cs="Tahoma"/>
          <w:sz w:val="21"/>
          <w:szCs w:val="21"/>
        </w:rPr>
        <w:t>e</w:t>
      </w:r>
      <w:r w:rsidR="003952E0">
        <w:rPr>
          <w:rFonts w:cs="Tahoma"/>
          <w:sz w:val="21"/>
          <w:szCs w:val="21"/>
        </w:rPr>
        <w:t xml:space="preserve"> </w:t>
      </w:r>
      <w:r w:rsidR="00311177">
        <w:rPr>
          <w:rFonts w:cs="Tahoma"/>
          <w:sz w:val="21"/>
          <w:szCs w:val="21"/>
        </w:rPr>
        <w:t>S</w:t>
      </w:r>
      <w:r w:rsidR="003952E0">
        <w:rPr>
          <w:rFonts w:cs="Tahoma"/>
          <w:sz w:val="21"/>
          <w:szCs w:val="21"/>
        </w:rPr>
        <w:t>vetovne trgovinske organizacije (WTO), ki je ocenila, da je bil Airbus s strani evropskih držav neupravičeno subvencioniran</w:t>
      </w:r>
      <w:r w:rsidR="00311177">
        <w:rPr>
          <w:rFonts w:cs="Tahoma"/>
          <w:sz w:val="21"/>
          <w:szCs w:val="21"/>
        </w:rPr>
        <w:t>,</w:t>
      </w:r>
      <w:r w:rsidR="003952E0">
        <w:rPr>
          <w:rFonts w:cs="Tahoma"/>
          <w:sz w:val="21"/>
          <w:szCs w:val="21"/>
        </w:rPr>
        <w:t xml:space="preserve"> kar </w:t>
      </w:r>
      <w:r w:rsidR="00311177">
        <w:rPr>
          <w:rFonts w:cs="Tahoma"/>
          <w:sz w:val="21"/>
          <w:szCs w:val="21"/>
        </w:rPr>
        <w:t xml:space="preserve">naj bi </w:t>
      </w:r>
      <w:r w:rsidR="003952E0">
        <w:rPr>
          <w:rFonts w:cs="Tahoma"/>
          <w:sz w:val="21"/>
          <w:szCs w:val="21"/>
        </w:rPr>
        <w:t>izkrivljalo konkurenco na področju proizvodnje letal. Pri tem p</w:t>
      </w:r>
      <w:r w:rsidR="003952E0" w:rsidRPr="003952E0">
        <w:rPr>
          <w:rFonts w:cs="Tahoma"/>
          <w:sz w:val="21"/>
          <w:szCs w:val="21"/>
        </w:rPr>
        <w:t>reseneča hitrost uvedenih ukrepov</w:t>
      </w:r>
      <w:r w:rsidR="00311177">
        <w:rPr>
          <w:rFonts w:cs="Tahoma"/>
          <w:sz w:val="21"/>
          <w:szCs w:val="21"/>
        </w:rPr>
        <w:t xml:space="preserve">. Sklepati je mogoče, </w:t>
      </w:r>
      <w:r w:rsidR="003952E0" w:rsidRPr="003952E0">
        <w:rPr>
          <w:rFonts w:cs="Tahoma"/>
          <w:sz w:val="21"/>
          <w:szCs w:val="21"/>
        </w:rPr>
        <w:t>da je ameriška administracija najverjetneje predvidevala, da bo odločitev WTO zanjo ugodna.</w:t>
      </w:r>
      <w:r w:rsidR="003952E0">
        <w:rPr>
          <w:rFonts w:cs="Tahoma"/>
          <w:sz w:val="21"/>
          <w:szCs w:val="21"/>
        </w:rPr>
        <w:t xml:space="preserve"> </w:t>
      </w:r>
      <w:r w:rsidR="003952E0" w:rsidRPr="003952E0">
        <w:rPr>
          <w:rFonts w:cs="Tahoma"/>
          <w:sz w:val="21"/>
          <w:szCs w:val="21"/>
        </w:rPr>
        <w:t>Uvedba trgovinskih protiukrepov po razsodbi je pravno sicer dopustna oziroma upravičena</w:t>
      </w:r>
      <w:r w:rsidR="00311177">
        <w:rPr>
          <w:rFonts w:cs="Tahoma"/>
          <w:sz w:val="21"/>
          <w:szCs w:val="21"/>
        </w:rPr>
        <w:t xml:space="preserve">. Zelo verjetno pa </w:t>
      </w:r>
      <w:r w:rsidR="003952E0" w:rsidRPr="003952E0">
        <w:rPr>
          <w:rFonts w:cs="Tahoma"/>
          <w:sz w:val="21"/>
          <w:szCs w:val="21"/>
        </w:rPr>
        <w:t>bo WTO podobno razsodil tudi v primeru nedovoljene pomoči Boeingu</w:t>
      </w:r>
      <w:r w:rsidR="00311177">
        <w:rPr>
          <w:rFonts w:cs="Tahoma"/>
          <w:sz w:val="21"/>
          <w:szCs w:val="21"/>
        </w:rPr>
        <w:t xml:space="preserve">, kar bi po drugi strani </w:t>
      </w:r>
      <w:r w:rsidR="00793EDC">
        <w:rPr>
          <w:rFonts w:cs="Tahoma"/>
          <w:sz w:val="21"/>
          <w:szCs w:val="21"/>
        </w:rPr>
        <w:t xml:space="preserve">pomenilo pravno podlago za </w:t>
      </w:r>
      <w:r w:rsidR="00311177">
        <w:rPr>
          <w:rFonts w:cs="Tahoma"/>
          <w:sz w:val="21"/>
          <w:szCs w:val="21"/>
        </w:rPr>
        <w:t xml:space="preserve">morebitno </w:t>
      </w:r>
      <w:r w:rsidR="00793EDC">
        <w:rPr>
          <w:rFonts w:cs="Tahoma"/>
          <w:sz w:val="21"/>
          <w:szCs w:val="21"/>
        </w:rPr>
        <w:t xml:space="preserve">uvedbo </w:t>
      </w:r>
      <w:r w:rsidR="00F207E5">
        <w:rPr>
          <w:rFonts w:cs="Tahoma"/>
          <w:sz w:val="21"/>
          <w:szCs w:val="21"/>
        </w:rPr>
        <w:t xml:space="preserve">evropskih carin. </w:t>
      </w:r>
    </w:p>
    <w:p w14:paraId="2F85046F" w14:textId="17851CFE" w:rsidR="00C6584A" w:rsidRDefault="003952E0" w:rsidP="008862D9">
      <w:pPr>
        <w:jc w:val="both"/>
        <w:rPr>
          <w:rFonts w:cs="Tahoma"/>
          <w:sz w:val="21"/>
          <w:szCs w:val="21"/>
        </w:rPr>
      </w:pPr>
      <w:r>
        <w:rPr>
          <w:rFonts w:cs="Tahoma"/>
          <w:b/>
          <w:sz w:val="21"/>
          <w:szCs w:val="21"/>
        </w:rPr>
        <w:t>ZDA prva izvozna destinacija za EU</w:t>
      </w:r>
    </w:p>
    <w:p w14:paraId="7D2EBDCD" w14:textId="58107DB9" w:rsidR="003952E0" w:rsidRDefault="003952E0" w:rsidP="003952E0">
      <w:pPr>
        <w:jc w:val="both"/>
        <w:rPr>
          <w:rFonts w:cs="Tahoma"/>
          <w:sz w:val="21"/>
          <w:szCs w:val="21"/>
        </w:rPr>
      </w:pPr>
      <w:r w:rsidRPr="003952E0">
        <w:rPr>
          <w:rFonts w:cs="Tahoma"/>
          <w:sz w:val="21"/>
          <w:szCs w:val="21"/>
        </w:rPr>
        <w:t xml:space="preserve">ZDA so največji svetovni uvoznik blaga na svetu in </w:t>
      </w:r>
      <w:r w:rsidR="00311177">
        <w:rPr>
          <w:rFonts w:cs="Tahoma"/>
          <w:sz w:val="21"/>
          <w:szCs w:val="21"/>
        </w:rPr>
        <w:t>so</w:t>
      </w:r>
      <w:r w:rsidR="00311177" w:rsidRPr="003952E0">
        <w:rPr>
          <w:rFonts w:cs="Tahoma"/>
          <w:sz w:val="21"/>
          <w:szCs w:val="21"/>
        </w:rPr>
        <w:t xml:space="preserve"> </w:t>
      </w:r>
      <w:r w:rsidRPr="003952E0">
        <w:rPr>
          <w:rFonts w:cs="Tahoma"/>
          <w:sz w:val="21"/>
          <w:szCs w:val="21"/>
        </w:rPr>
        <w:t>za EU najpomembnejši trgovinski partner. EU izvozi v ZDA petino celotnega izvoza. Znotraj držav EU je Nemčija največji izvozni</w:t>
      </w:r>
      <w:r>
        <w:rPr>
          <w:rFonts w:cs="Tahoma"/>
          <w:sz w:val="21"/>
          <w:szCs w:val="21"/>
        </w:rPr>
        <w:t>k</w:t>
      </w:r>
      <w:r w:rsidRPr="003952E0">
        <w:rPr>
          <w:rFonts w:cs="Tahoma"/>
          <w:sz w:val="21"/>
          <w:szCs w:val="21"/>
        </w:rPr>
        <w:t xml:space="preserve"> blaga v ZDA. </w:t>
      </w:r>
      <w:r>
        <w:rPr>
          <w:rFonts w:cs="Tahoma"/>
          <w:sz w:val="21"/>
          <w:szCs w:val="21"/>
        </w:rPr>
        <w:t>E</w:t>
      </w:r>
      <w:r w:rsidRPr="003952E0">
        <w:rPr>
          <w:rFonts w:cs="Tahoma"/>
          <w:sz w:val="21"/>
          <w:szCs w:val="21"/>
        </w:rPr>
        <w:t xml:space="preserve">U je v </w:t>
      </w:r>
      <w:r w:rsidR="00311177">
        <w:rPr>
          <w:rFonts w:cs="Tahoma"/>
          <w:sz w:val="21"/>
          <w:szCs w:val="21"/>
        </w:rPr>
        <w:t xml:space="preserve">letu </w:t>
      </w:r>
      <w:r w:rsidRPr="003952E0">
        <w:rPr>
          <w:rFonts w:cs="Tahoma"/>
          <w:sz w:val="21"/>
          <w:szCs w:val="21"/>
        </w:rPr>
        <w:t xml:space="preserve">2018 v ZDA izvozila za 406 mrd EUR blaga, zato uvedba 25-odstotnih carin na manj kot 2 % celotnega izvoza blaga ne pomeni sistemskega pretresa. Krepitev ameriškega gospodarstva po letu 2009 je </w:t>
      </w:r>
      <w:r>
        <w:rPr>
          <w:rFonts w:cs="Tahoma"/>
          <w:sz w:val="21"/>
          <w:szCs w:val="21"/>
        </w:rPr>
        <w:t xml:space="preserve">prispevala k </w:t>
      </w:r>
      <w:r w:rsidRPr="003952E0">
        <w:rPr>
          <w:rFonts w:cs="Tahoma"/>
          <w:sz w:val="21"/>
          <w:szCs w:val="21"/>
        </w:rPr>
        <w:t>podvoji</w:t>
      </w:r>
      <w:r>
        <w:rPr>
          <w:rFonts w:cs="Tahoma"/>
          <w:sz w:val="21"/>
          <w:szCs w:val="21"/>
        </w:rPr>
        <w:t>tvi</w:t>
      </w:r>
      <w:r w:rsidRPr="003952E0">
        <w:rPr>
          <w:rFonts w:cs="Tahoma"/>
          <w:sz w:val="21"/>
          <w:szCs w:val="21"/>
        </w:rPr>
        <w:t xml:space="preserve"> izvoz</w:t>
      </w:r>
      <w:r>
        <w:rPr>
          <w:rFonts w:cs="Tahoma"/>
          <w:sz w:val="21"/>
          <w:szCs w:val="21"/>
        </w:rPr>
        <w:t>a</w:t>
      </w:r>
      <w:r w:rsidRPr="003952E0">
        <w:rPr>
          <w:rFonts w:cs="Tahoma"/>
          <w:sz w:val="21"/>
          <w:szCs w:val="21"/>
        </w:rPr>
        <w:t xml:space="preserve"> EU v ZDA</w:t>
      </w:r>
      <w:r w:rsidR="00311177">
        <w:rPr>
          <w:rFonts w:cs="Tahoma"/>
          <w:sz w:val="21"/>
          <w:szCs w:val="21"/>
        </w:rPr>
        <w:t xml:space="preserve">. Ta </w:t>
      </w:r>
      <w:r w:rsidRPr="003952E0">
        <w:rPr>
          <w:rFonts w:cs="Tahoma"/>
          <w:sz w:val="21"/>
          <w:szCs w:val="21"/>
        </w:rPr>
        <w:t xml:space="preserve">je namreč zrasel </w:t>
      </w:r>
      <w:r w:rsidR="00311177">
        <w:rPr>
          <w:rFonts w:cs="Tahoma"/>
          <w:sz w:val="21"/>
          <w:szCs w:val="21"/>
        </w:rPr>
        <w:t>z</w:t>
      </w:r>
      <w:r w:rsidRPr="003952E0">
        <w:rPr>
          <w:rFonts w:cs="Tahoma"/>
          <w:sz w:val="21"/>
          <w:szCs w:val="21"/>
        </w:rPr>
        <w:t xml:space="preserve"> 204 mrd EUR v 2009 na 406 mrd EUR</w:t>
      </w:r>
      <w:r w:rsidR="00311177">
        <w:rPr>
          <w:rFonts w:cs="Tahoma"/>
          <w:sz w:val="21"/>
          <w:szCs w:val="21"/>
        </w:rPr>
        <w:t xml:space="preserve"> v 2018</w:t>
      </w:r>
      <w:r>
        <w:rPr>
          <w:rFonts w:cs="Tahoma"/>
          <w:sz w:val="21"/>
          <w:szCs w:val="21"/>
        </w:rPr>
        <w:t>. Navedeno nesorazmerje pomeni, da ameriška podjetja niso bila povsem konkurenčna na področju industrijskih izdelkov, kar je vodilo do povečanega uvoza blaga</w:t>
      </w:r>
      <w:r w:rsidR="00F207E5">
        <w:rPr>
          <w:rFonts w:cs="Tahoma"/>
          <w:sz w:val="21"/>
          <w:szCs w:val="21"/>
        </w:rPr>
        <w:t>, tudi iz EU</w:t>
      </w:r>
      <w:r>
        <w:rPr>
          <w:rFonts w:cs="Tahoma"/>
          <w:sz w:val="21"/>
          <w:szCs w:val="21"/>
        </w:rPr>
        <w:t xml:space="preserve">. Te trende želi aktualna ameriška administracija zajeziti. </w:t>
      </w:r>
    </w:p>
    <w:p w14:paraId="56858DF8" w14:textId="4A100839" w:rsidR="003952E0" w:rsidRDefault="00793EDC" w:rsidP="003952E0">
      <w:pPr>
        <w:jc w:val="both"/>
        <w:rPr>
          <w:rFonts w:cs="Tahoma"/>
          <w:sz w:val="21"/>
          <w:szCs w:val="21"/>
        </w:rPr>
      </w:pPr>
      <w:r>
        <w:rPr>
          <w:rFonts w:cs="Tahoma"/>
          <w:b/>
          <w:sz w:val="21"/>
          <w:szCs w:val="21"/>
        </w:rPr>
        <w:t>Neposreden učinek carin za Slovenijo zanemarljiv</w:t>
      </w:r>
    </w:p>
    <w:p w14:paraId="1FD6AC67" w14:textId="24509446" w:rsidR="003952E0" w:rsidRDefault="003952E0" w:rsidP="003952E0">
      <w:pPr>
        <w:jc w:val="both"/>
        <w:rPr>
          <w:rFonts w:cs="Tahoma"/>
          <w:sz w:val="21"/>
          <w:szCs w:val="21"/>
        </w:rPr>
      </w:pPr>
      <w:r w:rsidRPr="003952E0">
        <w:rPr>
          <w:rFonts w:cs="Tahoma"/>
          <w:sz w:val="21"/>
          <w:szCs w:val="21"/>
        </w:rPr>
        <w:t xml:space="preserve">Neposreden učinek </w:t>
      </w:r>
      <w:r>
        <w:rPr>
          <w:rFonts w:cs="Tahoma"/>
          <w:sz w:val="21"/>
          <w:szCs w:val="21"/>
        </w:rPr>
        <w:t xml:space="preserve">uvedenih </w:t>
      </w:r>
      <w:r w:rsidRPr="003952E0">
        <w:rPr>
          <w:rFonts w:cs="Tahoma"/>
          <w:sz w:val="21"/>
          <w:szCs w:val="21"/>
        </w:rPr>
        <w:t xml:space="preserve">carin ni velik in je vezan na </w:t>
      </w:r>
      <w:r>
        <w:rPr>
          <w:rFonts w:cs="Tahoma"/>
          <w:sz w:val="21"/>
          <w:szCs w:val="21"/>
        </w:rPr>
        <w:t>izv</w:t>
      </w:r>
      <w:r w:rsidRPr="003952E0">
        <w:rPr>
          <w:rFonts w:cs="Tahoma"/>
          <w:sz w:val="21"/>
          <w:szCs w:val="21"/>
        </w:rPr>
        <w:t>oz večjih evropskih letal v ZDA, na nekaj kmetijskih proizvodov, prehrambnih izdelkov ter tekstilij.</w:t>
      </w:r>
      <w:r>
        <w:rPr>
          <w:rFonts w:cs="Tahoma"/>
          <w:sz w:val="21"/>
          <w:szCs w:val="21"/>
        </w:rPr>
        <w:t xml:space="preserve"> </w:t>
      </w:r>
      <w:r w:rsidR="00793EDC">
        <w:rPr>
          <w:rFonts w:cs="Tahoma"/>
          <w:sz w:val="21"/>
          <w:szCs w:val="21"/>
        </w:rPr>
        <w:t xml:space="preserve">Najbolj bodo prizadete večje evropske države, ki izvažajo v ZDA, in sicer Nemčija, Francija, Združeno </w:t>
      </w:r>
      <w:r w:rsidR="00311177">
        <w:rPr>
          <w:rFonts w:cs="Tahoma"/>
          <w:sz w:val="21"/>
          <w:szCs w:val="21"/>
        </w:rPr>
        <w:t>k</w:t>
      </w:r>
      <w:r w:rsidR="00793EDC">
        <w:rPr>
          <w:rFonts w:cs="Tahoma"/>
          <w:sz w:val="21"/>
          <w:szCs w:val="21"/>
        </w:rPr>
        <w:t xml:space="preserve">raljestvo in Španija. </w:t>
      </w:r>
      <w:r>
        <w:rPr>
          <w:rFonts w:cs="Tahoma"/>
          <w:sz w:val="21"/>
          <w:szCs w:val="21"/>
        </w:rPr>
        <w:t xml:space="preserve">Carine </w:t>
      </w:r>
      <w:r w:rsidR="00311177">
        <w:rPr>
          <w:rFonts w:cs="Tahoma"/>
          <w:sz w:val="21"/>
          <w:szCs w:val="21"/>
        </w:rPr>
        <w:t xml:space="preserve">pri določenih proizvodih veljajo za vse evropske države, </w:t>
      </w:r>
      <w:r>
        <w:rPr>
          <w:rFonts w:cs="Tahoma"/>
          <w:sz w:val="21"/>
          <w:szCs w:val="21"/>
        </w:rPr>
        <w:t xml:space="preserve">pri določenih proizvodih </w:t>
      </w:r>
      <w:r w:rsidR="00311177">
        <w:rPr>
          <w:rFonts w:cs="Tahoma"/>
          <w:sz w:val="21"/>
          <w:szCs w:val="21"/>
        </w:rPr>
        <w:t xml:space="preserve">pa so </w:t>
      </w:r>
      <w:r>
        <w:rPr>
          <w:rFonts w:cs="Tahoma"/>
          <w:sz w:val="21"/>
          <w:szCs w:val="21"/>
        </w:rPr>
        <w:t xml:space="preserve">uvedene le </w:t>
      </w:r>
      <w:r w:rsidR="00311177">
        <w:rPr>
          <w:rFonts w:cs="Tahoma"/>
          <w:sz w:val="21"/>
          <w:szCs w:val="21"/>
        </w:rPr>
        <w:t xml:space="preserve">za </w:t>
      </w:r>
      <w:r>
        <w:rPr>
          <w:rFonts w:cs="Tahoma"/>
          <w:sz w:val="21"/>
          <w:szCs w:val="21"/>
        </w:rPr>
        <w:t>posamezn</w:t>
      </w:r>
      <w:r w:rsidR="00311177">
        <w:rPr>
          <w:rFonts w:cs="Tahoma"/>
          <w:sz w:val="21"/>
          <w:szCs w:val="21"/>
        </w:rPr>
        <w:t>e</w:t>
      </w:r>
      <w:r>
        <w:rPr>
          <w:rFonts w:cs="Tahoma"/>
          <w:sz w:val="21"/>
          <w:szCs w:val="21"/>
        </w:rPr>
        <w:t xml:space="preserve">. </w:t>
      </w:r>
      <w:r w:rsidR="00311177">
        <w:rPr>
          <w:rFonts w:cs="Tahoma"/>
          <w:sz w:val="21"/>
          <w:szCs w:val="21"/>
        </w:rPr>
        <w:t xml:space="preserve">Tako bi na primer </w:t>
      </w:r>
      <w:r w:rsidRPr="003952E0">
        <w:rPr>
          <w:rFonts w:cs="Tahoma"/>
          <w:sz w:val="21"/>
          <w:szCs w:val="21"/>
        </w:rPr>
        <w:t>izvoz svežega sira in oliv ter zamrznjenega svinjskega mesa iz Slovenije postal celo privlačnejš</w:t>
      </w:r>
      <w:r w:rsidR="00311177">
        <w:rPr>
          <w:rFonts w:cs="Tahoma"/>
          <w:sz w:val="21"/>
          <w:szCs w:val="21"/>
        </w:rPr>
        <w:t>i</w:t>
      </w:r>
      <w:r w:rsidRPr="003952E0">
        <w:rPr>
          <w:rFonts w:cs="Tahoma"/>
          <w:sz w:val="21"/>
          <w:szCs w:val="21"/>
        </w:rPr>
        <w:t>, ker bo izvoz teh izdelkov v Nemčiji, Španiji in Združenem kraljestvu predmet ameriških carin</w:t>
      </w:r>
      <w:r>
        <w:rPr>
          <w:rFonts w:cs="Tahoma"/>
          <w:sz w:val="21"/>
          <w:szCs w:val="21"/>
        </w:rPr>
        <w:t>, iz Slovenije pa ne</w:t>
      </w:r>
      <w:r w:rsidRPr="003952E0">
        <w:rPr>
          <w:rFonts w:cs="Tahoma"/>
          <w:sz w:val="21"/>
          <w:szCs w:val="21"/>
        </w:rPr>
        <w:t xml:space="preserve">. </w:t>
      </w:r>
      <w:r w:rsidR="00793EDC" w:rsidRPr="00793EDC">
        <w:rPr>
          <w:rFonts w:cs="Tahoma"/>
          <w:sz w:val="21"/>
          <w:szCs w:val="21"/>
        </w:rPr>
        <w:t>Slovenska podjetja so lani v ZDA izvozila za 569,3 milijona evrov blaga. Od tega je bilo mlečnih izdelkov in jajc za 195 tisoč evrov, mesa in mesnih izdelkov pa tja niso izvažala.</w:t>
      </w:r>
    </w:p>
    <w:p w14:paraId="5C428C5A" w14:textId="512FEF59" w:rsidR="003952E0" w:rsidRDefault="003952E0" w:rsidP="003952E0">
      <w:pPr>
        <w:jc w:val="both"/>
        <w:rPr>
          <w:rFonts w:cs="Tahoma"/>
          <w:sz w:val="21"/>
          <w:szCs w:val="21"/>
        </w:rPr>
      </w:pPr>
      <w:r w:rsidRPr="003952E0">
        <w:rPr>
          <w:rFonts w:cs="Tahoma"/>
          <w:sz w:val="21"/>
          <w:szCs w:val="21"/>
        </w:rPr>
        <w:t xml:space="preserve">Večji izziv pri uvedbi </w:t>
      </w:r>
      <w:r>
        <w:rPr>
          <w:rFonts w:cs="Tahoma"/>
          <w:sz w:val="21"/>
          <w:szCs w:val="21"/>
        </w:rPr>
        <w:t xml:space="preserve">teh </w:t>
      </w:r>
      <w:r w:rsidRPr="003952E0">
        <w:rPr>
          <w:rFonts w:cs="Tahoma"/>
          <w:sz w:val="21"/>
          <w:szCs w:val="21"/>
        </w:rPr>
        <w:t xml:space="preserve">carin je njihov vpliv na razpoloženja v </w:t>
      </w:r>
      <w:r>
        <w:rPr>
          <w:rFonts w:cs="Tahoma"/>
          <w:sz w:val="21"/>
          <w:szCs w:val="21"/>
        </w:rPr>
        <w:t xml:space="preserve">evropskem </w:t>
      </w:r>
      <w:r w:rsidRPr="003952E0">
        <w:rPr>
          <w:rFonts w:cs="Tahoma"/>
          <w:sz w:val="21"/>
          <w:szCs w:val="21"/>
        </w:rPr>
        <w:t>gospodarstvu ter na investicijske odločitve podjetij</w:t>
      </w:r>
      <w:r>
        <w:rPr>
          <w:rFonts w:cs="Tahoma"/>
          <w:sz w:val="21"/>
          <w:szCs w:val="21"/>
        </w:rPr>
        <w:t xml:space="preserve"> na evropskih tleh</w:t>
      </w:r>
      <w:r w:rsidRPr="003952E0">
        <w:rPr>
          <w:rFonts w:cs="Tahoma"/>
          <w:sz w:val="21"/>
          <w:szCs w:val="21"/>
        </w:rPr>
        <w:t xml:space="preserve">. Pričakovati je, da se bodo zadnje še nekoliko bolj ohladile oz. jih niti rekordne nizke obrestne mere ne </w:t>
      </w:r>
      <w:r w:rsidR="00311177">
        <w:rPr>
          <w:rFonts w:cs="Tahoma"/>
          <w:sz w:val="21"/>
          <w:szCs w:val="21"/>
        </w:rPr>
        <w:t>bodo</w:t>
      </w:r>
      <w:r w:rsidR="00311177" w:rsidRPr="003952E0">
        <w:rPr>
          <w:rFonts w:cs="Tahoma"/>
          <w:sz w:val="21"/>
          <w:szCs w:val="21"/>
        </w:rPr>
        <w:t xml:space="preserve"> </w:t>
      </w:r>
      <w:r w:rsidRPr="003952E0">
        <w:rPr>
          <w:rFonts w:cs="Tahoma"/>
          <w:sz w:val="21"/>
          <w:szCs w:val="21"/>
        </w:rPr>
        <w:t>prebudi</w:t>
      </w:r>
      <w:r w:rsidR="00311177">
        <w:rPr>
          <w:rFonts w:cs="Tahoma"/>
          <w:sz w:val="21"/>
          <w:szCs w:val="21"/>
        </w:rPr>
        <w:t>le</w:t>
      </w:r>
      <w:r w:rsidRPr="003952E0">
        <w:rPr>
          <w:rFonts w:cs="Tahoma"/>
          <w:sz w:val="21"/>
          <w:szCs w:val="21"/>
        </w:rPr>
        <w:t>.</w:t>
      </w:r>
    </w:p>
    <w:p w14:paraId="531CBDDF" w14:textId="068F9963" w:rsidR="00BE31C8" w:rsidRPr="00793EDC" w:rsidRDefault="00793EDC" w:rsidP="003952E0">
      <w:pPr>
        <w:jc w:val="both"/>
        <w:rPr>
          <w:rFonts w:cs="Tahoma"/>
          <w:b/>
          <w:sz w:val="21"/>
          <w:szCs w:val="21"/>
        </w:rPr>
      </w:pPr>
      <w:r w:rsidRPr="00793EDC">
        <w:rPr>
          <w:rFonts w:cs="Tahoma"/>
          <w:b/>
          <w:sz w:val="21"/>
          <w:szCs w:val="21"/>
        </w:rPr>
        <w:t>Kovinska industrija potencialno pod pritiskom</w:t>
      </w:r>
    </w:p>
    <w:p w14:paraId="24E6B8E5" w14:textId="275DB367" w:rsidR="003952E0" w:rsidRDefault="003952E0" w:rsidP="008862D9">
      <w:pPr>
        <w:jc w:val="both"/>
        <w:rPr>
          <w:rFonts w:cs="Tahoma"/>
          <w:sz w:val="21"/>
          <w:szCs w:val="21"/>
        </w:rPr>
      </w:pPr>
      <w:r w:rsidRPr="003952E0">
        <w:rPr>
          <w:rFonts w:cs="Tahoma"/>
          <w:sz w:val="21"/>
          <w:szCs w:val="21"/>
        </w:rPr>
        <w:t xml:space="preserve">V kratkem ni pričakovati, da bi ameriška stran dodatno povečala carine na </w:t>
      </w:r>
      <w:r>
        <w:rPr>
          <w:rFonts w:cs="Tahoma"/>
          <w:sz w:val="21"/>
          <w:szCs w:val="21"/>
        </w:rPr>
        <w:t xml:space="preserve">druge vrste </w:t>
      </w:r>
      <w:r w:rsidRPr="003952E0">
        <w:rPr>
          <w:rFonts w:cs="Tahoma"/>
          <w:sz w:val="21"/>
          <w:szCs w:val="21"/>
        </w:rPr>
        <w:t>evropsk</w:t>
      </w:r>
      <w:r>
        <w:rPr>
          <w:rFonts w:cs="Tahoma"/>
          <w:sz w:val="21"/>
          <w:szCs w:val="21"/>
        </w:rPr>
        <w:t>ega</w:t>
      </w:r>
      <w:r w:rsidRPr="003952E0">
        <w:rPr>
          <w:rFonts w:cs="Tahoma"/>
          <w:sz w:val="21"/>
          <w:szCs w:val="21"/>
        </w:rPr>
        <w:t xml:space="preserve"> blag</w:t>
      </w:r>
      <w:r>
        <w:rPr>
          <w:rFonts w:cs="Tahoma"/>
          <w:sz w:val="21"/>
          <w:szCs w:val="21"/>
        </w:rPr>
        <w:t>a</w:t>
      </w:r>
      <w:r w:rsidRPr="003952E0">
        <w:rPr>
          <w:rFonts w:cs="Tahoma"/>
          <w:sz w:val="21"/>
          <w:szCs w:val="21"/>
        </w:rPr>
        <w:t xml:space="preserve">. </w:t>
      </w:r>
      <w:r>
        <w:rPr>
          <w:rFonts w:cs="Tahoma"/>
          <w:sz w:val="21"/>
          <w:szCs w:val="21"/>
        </w:rPr>
        <w:t xml:space="preserve">Slovenija je </w:t>
      </w:r>
      <w:r w:rsidR="00793EDC">
        <w:rPr>
          <w:rFonts w:cs="Tahoma"/>
          <w:sz w:val="21"/>
          <w:szCs w:val="21"/>
        </w:rPr>
        <w:t xml:space="preserve">sicer pri izvozu v ZDA </w:t>
      </w:r>
      <w:r>
        <w:rPr>
          <w:rFonts w:cs="Tahoma"/>
          <w:sz w:val="21"/>
          <w:szCs w:val="21"/>
        </w:rPr>
        <w:t xml:space="preserve">najbolj </w:t>
      </w:r>
      <w:r w:rsidRPr="003952E0">
        <w:rPr>
          <w:rFonts w:cs="Tahoma"/>
          <w:sz w:val="21"/>
          <w:szCs w:val="21"/>
        </w:rPr>
        <w:t>izpostavljen</w:t>
      </w:r>
      <w:r>
        <w:rPr>
          <w:rFonts w:cs="Tahoma"/>
          <w:sz w:val="21"/>
          <w:szCs w:val="21"/>
        </w:rPr>
        <w:t>a</w:t>
      </w:r>
      <w:r w:rsidRPr="003952E0">
        <w:rPr>
          <w:rFonts w:cs="Tahoma"/>
          <w:sz w:val="21"/>
          <w:szCs w:val="21"/>
        </w:rPr>
        <w:t xml:space="preserve"> pri </w:t>
      </w:r>
      <w:r w:rsidR="00793EDC">
        <w:rPr>
          <w:rFonts w:cs="Tahoma"/>
          <w:sz w:val="21"/>
          <w:szCs w:val="21"/>
        </w:rPr>
        <w:t>uvedbi carin pri proizvodih iz</w:t>
      </w:r>
      <w:r w:rsidRPr="003952E0">
        <w:rPr>
          <w:rFonts w:cs="Tahoma"/>
          <w:sz w:val="21"/>
          <w:szCs w:val="21"/>
        </w:rPr>
        <w:t xml:space="preserve"> kovinsk</w:t>
      </w:r>
      <w:r w:rsidR="00793EDC">
        <w:rPr>
          <w:rFonts w:cs="Tahoma"/>
          <w:sz w:val="21"/>
          <w:szCs w:val="21"/>
        </w:rPr>
        <w:t>e</w:t>
      </w:r>
      <w:r w:rsidRPr="003952E0">
        <w:rPr>
          <w:rFonts w:cs="Tahoma"/>
          <w:sz w:val="21"/>
          <w:szCs w:val="21"/>
        </w:rPr>
        <w:t xml:space="preserve"> i</w:t>
      </w:r>
      <w:r w:rsidR="00793EDC">
        <w:rPr>
          <w:rFonts w:cs="Tahoma"/>
          <w:sz w:val="21"/>
          <w:szCs w:val="21"/>
        </w:rPr>
        <w:t>ndustrije</w:t>
      </w:r>
      <w:r w:rsidRPr="003952E0">
        <w:rPr>
          <w:rFonts w:cs="Tahoma"/>
          <w:sz w:val="21"/>
          <w:szCs w:val="21"/>
        </w:rPr>
        <w:t xml:space="preserve">. V povezavi z lastništvom največje železarske skupine, ki je v rokah ruskih investitorjev, bi ta sektor lahko postal </w:t>
      </w:r>
      <w:r>
        <w:rPr>
          <w:rFonts w:cs="Tahoma"/>
          <w:sz w:val="21"/>
          <w:szCs w:val="21"/>
        </w:rPr>
        <w:t xml:space="preserve">potencialna </w:t>
      </w:r>
      <w:r w:rsidRPr="003952E0">
        <w:rPr>
          <w:rFonts w:cs="Tahoma"/>
          <w:sz w:val="21"/>
          <w:szCs w:val="21"/>
        </w:rPr>
        <w:t>tarča</w:t>
      </w:r>
      <w:r>
        <w:rPr>
          <w:rFonts w:cs="Tahoma"/>
          <w:sz w:val="21"/>
          <w:szCs w:val="21"/>
        </w:rPr>
        <w:t>, v kolikor bi se carinska vojna razplamtela</w:t>
      </w:r>
      <w:r w:rsidRPr="003952E0">
        <w:rPr>
          <w:rFonts w:cs="Tahoma"/>
          <w:sz w:val="21"/>
          <w:szCs w:val="21"/>
        </w:rPr>
        <w:t xml:space="preserve">. </w:t>
      </w:r>
    </w:p>
    <w:p w14:paraId="0E750AEA" w14:textId="77777777" w:rsidR="003952E0" w:rsidRDefault="003952E0" w:rsidP="008862D9">
      <w:pPr>
        <w:jc w:val="both"/>
        <w:rPr>
          <w:rFonts w:cs="Tahoma"/>
          <w:sz w:val="21"/>
          <w:szCs w:val="21"/>
        </w:rPr>
      </w:pPr>
    </w:p>
    <w:p w14:paraId="6C4BE724" w14:textId="77777777" w:rsidR="00351B39" w:rsidRDefault="00351B39" w:rsidP="00831BE9">
      <w:pPr>
        <w:rPr>
          <w:rFonts w:cs="Tahoma"/>
          <w:sz w:val="21"/>
          <w:szCs w:val="21"/>
        </w:rPr>
      </w:pPr>
    </w:p>
    <w:p w14:paraId="36EF481D" w14:textId="77777777" w:rsidR="00AF15F8" w:rsidRDefault="00AF15F8">
      <w:r>
        <w:rPr>
          <w:rFonts w:cs="Tahoma"/>
        </w:rPr>
        <w:t xml:space="preserve"> </w:t>
      </w:r>
      <w:r w:rsidR="00006122">
        <w:rPr>
          <w:noProof/>
          <w:lang w:eastAsia="sl-SI"/>
        </w:rPr>
        <w:drawing>
          <wp:inline distT="0" distB="0" distL="0" distR="0" wp14:anchorId="0AC05B4B" wp14:editId="107AFF5A">
            <wp:extent cx="1680210" cy="51879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518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5F8">
      <w:pgSz w:w="11906" w:h="16838"/>
      <w:pgMar w:top="909" w:right="910" w:bottom="910" w:left="1116" w:header="720" w:footer="720" w:gutter="0"/>
      <w:pgBorders>
        <w:top w:val="single" w:sz="4" w:space="20" w:color="800000"/>
        <w:left w:val="single" w:sz="4" w:space="21" w:color="800000"/>
        <w:bottom w:val="single" w:sz="4" w:space="21" w:color="800000"/>
        <w:right w:val="single" w:sz="4" w:space="31" w:color="800000"/>
      </w:pgBorders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15">
    <w:charset w:val="EE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20"/>
    <w:rsid w:val="00006122"/>
    <w:rsid w:val="0002657C"/>
    <w:rsid w:val="00043281"/>
    <w:rsid w:val="00083A6B"/>
    <w:rsid w:val="00093094"/>
    <w:rsid w:val="000B100B"/>
    <w:rsid w:val="000D1946"/>
    <w:rsid w:val="000D2189"/>
    <w:rsid w:val="00153F54"/>
    <w:rsid w:val="00154539"/>
    <w:rsid w:val="0018296D"/>
    <w:rsid w:val="001C3948"/>
    <w:rsid w:val="001D29EC"/>
    <w:rsid w:val="001F3E2E"/>
    <w:rsid w:val="00233952"/>
    <w:rsid w:val="00291DB7"/>
    <w:rsid w:val="00311177"/>
    <w:rsid w:val="00315D02"/>
    <w:rsid w:val="00320B8E"/>
    <w:rsid w:val="0033601C"/>
    <w:rsid w:val="00340B4A"/>
    <w:rsid w:val="00351B39"/>
    <w:rsid w:val="003952E0"/>
    <w:rsid w:val="003B5034"/>
    <w:rsid w:val="0040221F"/>
    <w:rsid w:val="0041168A"/>
    <w:rsid w:val="00420E9D"/>
    <w:rsid w:val="00427D70"/>
    <w:rsid w:val="00447444"/>
    <w:rsid w:val="0048167A"/>
    <w:rsid w:val="00487CA3"/>
    <w:rsid w:val="004C335E"/>
    <w:rsid w:val="004D1A85"/>
    <w:rsid w:val="004D40CA"/>
    <w:rsid w:val="004D696E"/>
    <w:rsid w:val="00511DA0"/>
    <w:rsid w:val="00581F66"/>
    <w:rsid w:val="00636369"/>
    <w:rsid w:val="00654ED3"/>
    <w:rsid w:val="0068034F"/>
    <w:rsid w:val="006A6138"/>
    <w:rsid w:val="006C4123"/>
    <w:rsid w:val="00712CD0"/>
    <w:rsid w:val="00733504"/>
    <w:rsid w:val="00793EDC"/>
    <w:rsid w:val="007954AA"/>
    <w:rsid w:val="007C28B3"/>
    <w:rsid w:val="00804BE4"/>
    <w:rsid w:val="00831BE9"/>
    <w:rsid w:val="0083204A"/>
    <w:rsid w:val="008862D9"/>
    <w:rsid w:val="008D54E8"/>
    <w:rsid w:val="008F34E1"/>
    <w:rsid w:val="009444B9"/>
    <w:rsid w:val="009F77C7"/>
    <w:rsid w:val="00A277FA"/>
    <w:rsid w:val="00A550B6"/>
    <w:rsid w:val="00A7168C"/>
    <w:rsid w:val="00A87C4B"/>
    <w:rsid w:val="00AB0DFE"/>
    <w:rsid w:val="00AE2C51"/>
    <w:rsid w:val="00AE426B"/>
    <w:rsid w:val="00AF15F8"/>
    <w:rsid w:val="00B157FB"/>
    <w:rsid w:val="00BE31C8"/>
    <w:rsid w:val="00C05C7C"/>
    <w:rsid w:val="00C1306A"/>
    <w:rsid w:val="00C44293"/>
    <w:rsid w:val="00C4656E"/>
    <w:rsid w:val="00C6584A"/>
    <w:rsid w:val="00CC164E"/>
    <w:rsid w:val="00D5600F"/>
    <w:rsid w:val="00D80786"/>
    <w:rsid w:val="00DA3F20"/>
    <w:rsid w:val="00DB2FB9"/>
    <w:rsid w:val="00DC7CB1"/>
    <w:rsid w:val="00DF5185"/>
    <w:rsid w:val="00DF7925"/>
    <w:rsid w:val="00E00381"/>
    <w:rsid w:val="00E71015"/>
    <w:rsid w:val="00EB4936"/>
    <w:rsid w:val="00ED1DD7"/>
    <w:rsid w:val="00ED4D37"/>
    <w:rsid w:val="00ED6506"/>
    <w:rsid w:val="00ED6A59"/>
    <w:rsid w:val="00EE15A3"/>
    <w:rsid w:val="00F207E5"/>
    <w:rsid w:val="00F47522"/>
    <w:rsid w:val="00F72DCD"/>
    <w:rsid w:val="00FA2EEF"/>
    <w:rsid w:val="00FE2F68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644312"/>
  <w15:chartTrackingRefBased/>
  <w15:docId w15:val="{34339F77-A47E-4B8D-9094-62386D36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uppressAutoHyphens/>
      <w:spacing w:after="90"/>
    </w:pPr>
    <w:rPr>
      <w:rFonts w:ascii="Tahoma" w:hAnsi="Tahoma"/>
      <w:sz w:val="24"/>
      <w:szCs w:val="24"/>
      <w:lang w:eastAsia="ar-SA"/>
    </w:rPr>
  </w:style>
  <w:style w:type="paragraph" w:styleId="Naslov1">
    <w:name w:val="heading 1"/>
    <w:basedOn w:val="Navaden"/>
    <w:next w:val="Telobesedila"/>
    <w:qFormat/>
    <w:pPr>
      <w:numPr>
        <w:numId w:val="1"/>
      </w:numPr>
      <w:spacing w:before="360" w:after="270"/>
      <w:outlineLvl w:val="0"/>
    </w:pPr>
    <w:rPr>
      <w:rFonts w:cs="Tahoma"/>
      <w:b/>
      <w:color w:val="99CC00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</w:style>
  <w:style w:type="character" w:customStyle="1" w:styleId="Naslov1Znak">
    <w:name w:val="Naslov 1 Znak"/>
    <w:rPr>
      <w:rFonts w:ascii="Cambria" w:hAnsi="Cambria" w:cs="font315"/>
      <w:b/>
      <w:bCs/>
      <w:kern w:val="1"/>
      <w:sz w:val="32"/>
      <w:szCs w:val="32"/>
    </w:rPr>
  </w:style>
  <w:style w:type="character" w:customStyle="1" w:styleId="GlavaZnak">
    <w:name w:val="Glava Znak"/>
    <w:rPr>
      <w:rFonts w:ascii="Tahoma" w:hAnsi="Tahoma"/>
      <w:sz w:val="24"/>
      <w:szCs w:val="24"/>
    </w:rPr>
  </w:style>
  <w:style w:type="character" w:customStyle="1" w:styleId="NogaZnak">
    <w:name w:val="Noga Znak"/>
    <w:rPr>
      <w:rFonts w:ascii="Tahoma" w:hAnsi="Tahoma"/>
      <w:sz w:val="24"/>
      <w:szCs w:val="24"/>
    </w:rPr>
  </w:style>
  <w:style w:type="character" w:customStyle="1" w:styleId="tevilkastrani1">
    <w:name w:val="Številka strani1"/>
    <w:rPr>
      <w:rFonts w:cs="Times New Roman"/>
    </w:rPr>
  </w:style>
  <w:style w:type="character" w:customStyle="1" w:styleId="TAJDAPELICON">
    <w:name w:val="TAJDA PELICON"/>
    <w:rPr>
      <w:rFonts w:ascii="Arial" w:hAnsi="Arial"/>
      <w:color w:val="000080"/>
      <w:sz w:val="20"/>
    </w:rPr>
  </w:style>
  <w:style w:type="character" w:styleId="Hiperpovezava">
    <w:name w:val="Hyperlink"/>
    <w:rPr>
      <w:rFonts w:cs="Times New Roman"/>
      <w:color w:val="0000FF"/>
      <w:u w:val="single"/>
    </w:rPr>
  </w:style>
  <w:style w:type="character" w:customStyle="1" w:styleId="st">
    <w:name w:val="st"/>
    <w:rPr>
      <w:rFonts w:cs="Times New Roman"/>
    </w:rPr>
  </w:style>
  <w:style w:type="character" w:styleId="Poudarek">
    <w:name w:val="Emphasis"/>
    <w:qFormat/>
    <w:rPr>
      <w:rFonts w:cs="Times New Roman"/>
      <w:i/>
      <w:iCs/>
    </w:rPr>
  </w:style>
  <w:style w:type="character" w:customStyle="1" w:styleId="GolobesediloZnak">
    <w:name w:val="Golo besedilo Znak"/>
    <w:rPr>
      <w:rFonts w:ascii="Calibri" w:eastAsia="Times New Roman" w:hAnsi="Calibri" w:cs="Times New Roman"/>
      <w:sz w:val="21"/>
      <w:szCs w:val="21"/>
    </w:rPr>
  </w:style>
  <w:style w:type="character" w:customStyle="1" w:styleId="BesedilooblakaZnak">
    <w:name w:val="Besedilo oblačka Znak"/>
    <w:rPr>
      <w:rFonts w:ascii="Segoe UI" w:hAnsi="Segoe UI" w:cs="Segoe UI"/>
      <w:sz w:val="18"/>
      <w:szCs w:val="18"/>
    </w:rPr>
  </w:style>
  <w:style w:type="character" w:customStyle="1" w:styleId="Pripombasklic1">
    <w:name w:val="Pripomba – sklic1"/>
    <w:rPr>
      <w:sz w:val="16"/>
      <w:szCs w:val="16"/>
    </w:rPr>
  </w:style>
  <w:style w:type="character" w:customStyle="1" w:styleId="PripombabesediloZnak">
    <w:name w:val="Pripomba – besedilo Znak"/>
    <w:rPr>
      <w:rFonts w:ascii="Tahoma" w:hAnsi="Tahoma"/>
      <w:sz w:val="20"/>
      <w:szCs w:val="20"/>
    </w:rPr>
  </w:style>
  <w:style w:type="character" w:customStyle="1" w:styleId="ZadevapripombeZnak">
    <w:name w:val="Zadeva pripombe Znak"/>
    <w:rPr>
      <w:rFonts w:ascii="Tahoma" w:hAnsi="Tahoma"/>
      <w:b/>
      <w:bCs/>
      <w:sz w:val="20"/>
      <w:szCs w:val="20"/>
    </w:rPr>
  </w:style>
  <w:style w:type="character" w:customStyle="1" w:styleId="apple-converted-space">
    <w:name w:val="apple-converted-space"/>
    <w:basedOn w:val="Privzetapisavaodstavka1"/>
  </w:style>
  <w:style w:type="character" w:styleId="Krepko">
    <w:name w:val="Strong"/>
    <w:qFormat/>
    <w:rPr>
      <w:b/>
      <w:bCs/>
    </w:rPr>
  </w:style>
  <w:style w:type="character" w:customStyle="1" w:styleId="lexitem">
    <w:name w:val="lexitem"/>
    <w:basedOn w:val="Privzetapisavaodstavka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Oznake">
    <w:name w:val="Oznake"/>
    <w:rPr>
      <w:rFonts w:ascii="OpenSymbol" w:eastAsia="OpenSymbol" w:hAnsi="OpenSymbol" w:cs="OpenSymbol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styleId="Glava">
    <w:name w:val="header"/>
    <w:basedOn w:val="Navaden"/>
    <w:pPr>
      <w:suppressLineNumbers/>
      <w:tabs>
        <w:tab w:val="center" w:pos="4153"/>
        <w:tab w:val="right" w:pos="8306"/>
      </w:tabs>
    </w:pPr>
  </w:style>
  <w:style w:type="paragraph" w:styleId="Noga">
    <w:name w:val="footer"/>
    <w:basedOn w:val="Navaden"/>
    <w:pPr>
      <w:suppressLineNumbers/>
      <w:tabs>
        <w:tab w:val="center" w:pos="4153"/>
        <w:tab w:val="right" w:pos="8306"/>
      </w:tabs>
    </w:pPr>
  </w:style>
  <w:style w:type="paragraph" w:customStyle="1" w:styleId="Navadensplet1">
    <w:name w:val="Navaden (splet)1"/>
    <w:basedOn w:val="Navaden"/>
    <w:pPr>
      <w:spacing w:after="258" w:line="258" w:lineRule="atLeast"/>
      <w:jc w:val="both"/>
    </w:pPr>
    <w:rPr>
      <w:sz w:val="20"/>
      <w:szCs w:val="20"/>
    </w:rPr>
  </w:style>
  <w:style w:type="paragraph" w:customStyle="1" w:styleId="BasicParagraph">
    <w:name w:val="[Basic Paragraph]"/>
    <w:basedOn w:val="Navaden"/>
    <w:pPr>
      <w:spacing w:after="0" w:line="288" w:lineRule="auto"/>
    </w:pPr>
    <w:rPr>
      <w:rFonts w:ascii="Arial" w:hAnsi="Arial"/>
      <w:color w:val="000000"/>
      <w:lang w:val="en-GB"/>
    </w:rPr>
  </w:style>
  <w:style w:type="paragraph" w:customStyle="1" w:styleId="Golobesedilo1">
    <w:name w:val="Golo besedilo1"/>
    <w:basedOn w:val="Navaden"/>
    <w:pPr>
      <w:spacing w:after="0"/>
    </w:pPr>
    <w:rPr>
      <w:rFonts w:ascii="Calibri" w:hAnsi="Calibri"/>
      <w:sz w:val="22"/>
      <w:szCs w:val="21"/>
    </w:rPr>
  </w:style>
  <w:style w:type="paragraph" w:customStyle="1" w:styleId="Besedilooblaka1">
    <w:name w:val="Besedilo oblačka1"/>
    <w:basedOn w:val="Navaden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Pripombabesedilo1">
    <w:name w:val="Pripomba – besedilo1"/>
    <w:basedOn w:val="Navaden"/>
    <w:rPr>
      <w:sz w:val="20"/>
      <w:szCs w:val="20"/>
    </w:rPr>
  </w:style>
  <w:style w:type="paragraph" w:customStyle="1" w:styleId="Zadevapripombe1">
    <w:name w:val="Zadeva pripombe1"/>
    <w:basedOn w:val="Pripombabesedilo1"/>
    <w:rPr>
      <w:b/>
      <w:bCs/>
    </w:rPr>
  </w:style>
  <w:style w:type="paragraph" w:customStyle="1" w:styleId="Odstavekseznama1">
    <w:name w:val="Odstavek seznama1"/>
    <w:basedOn w:val="Navaden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Besedilooblaka">
    <w:name w:val="Balloon Text"/>
    <w:basedOn w:val="Navaden"/>
    <w:link w:val="BesedilooblakaZnak1"/>
    <w:uiPriority w:val="99"/>
    <w:semiHidden/>
    <w:unhideWhenUsed/>
    <w:rsid w:val="00AE42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1">
    <w:name w:val="Besedilo oblačka Znak1"/>
    <w:basedOn w:val="Privzetapisavaodstavka"/>
    <w:link w:val="Besedilooblaka"/>
    <w:uiPriority w:val="99"/>
    <w:semiHidden/>
    <w:rsid w:val="00AE426B"/>
    <w:rPr>
      <w:rFonts w:ascii="Segoe UI" w:hAnsi="Segoe UI" w:cs="Segoe UI"/>
      <w:sz w:val="18"/>
      <w:szCs w:val="18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CC164E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CC164E"/>
    <w:rPr>
      <w:sz w:val="20"/>
      <w:szCs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CC164E"/>
    <w:rPr>
      <w:rFonts w:ascii="Tahoma" w:hAnsi="Tahoma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CC164E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CC164E"/>
    <w:rPr>
      <w:rFonts w:ascii="Tahoma" w:hAnsi="Tahoma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Tajda Pelicon</cp:lastModifiedBy>
  <cp:revision>3</cp:revision>
  <cp:lastPrinted>2019-05-31T10:58:00Z</cp:lastPrinted>
  <dcterms:created xsi:type="dcterms:W3CDTF">2019-10-03T11:42:00Z</dcterms:created>
  <dcterms:modified xsi:type="dcterms:W3CDTF">2019-10-03T11:43:00Z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Gospodarska Zbornica Slovenije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