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42DF9" w14:textId="77777777" w:rsidR="00FC0670" w:rsidRPr="002354DE" w:rsidRDefault="007A1E50" w:rsidP="001216B2">
      <w:pPr>
        <w:jc w:val="both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449070" cy="866775"/>
            <wp:effectExtent l="0" t="0" r="0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83995" cy="600710"/>
            <wp:effectExtent l="0" t="0" r="1905" b="889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DE" w:rsidRPr="002354DE">
        <w:rPr>
          <w:rFonts w:cs="Tahoma"/>
        </w:rPr>
        <w:t xml:space="preserve"> </w:t>
      </w:r>
    </w:p>
    <w:p w14:paraId="5904A131" w14:textId="77777777" w:rsidR="00CA7BC0" w:rsidRDefault="00CA7BC0" w:rsidP="001216B2">
      <w:pPr>
        <w:jc w:val="both"/>
        <w:rPr>
          <w:rFonts w:cs="Tahoma"/>
        </w:rPr>
      </w:pPr>
    </w:p>
    <w:p w14:paraId="21A8B8D5" w14:textId="77777777" w:rsidR="002354DE" w:rsidRDefault="002354DE" w:rsidP="001216B2">
      <w:pPr>
        <w:jc w:val="both"/>
        <w:rPr>
          <w:rFonts w:cs="Tahoma"/>
        </w:rPr>
      </w:pPr>
    </w:p>
    <w:p w14:paraId="60C789A9" w14:textId="77777777" w:rsidR="002354DE" w:rsidRPr="00CA7BC0" w:rsidRDefault="002354DE" w:rsidP="001216B2">
      <w:pPr>
        <w:jc w:val="both"/>
        <w:rPr>
          <w:rFonts w:cs="Tahoma"/>
        </w:rPr>
      </w:pPr>
    </w:p>
    <w:p w14:paraId="61F900C5" w14:textId="77777777" w:rsidR="00C73417" w:rsidRPr="00C73417" w:rsidRDefault="007535F0" w:rsidP="001216B2">
      <w:pPr>
        <w:tabs>
          <w:tab w:val="num" w:pos="720"/>
        </w:tabs>
        <w:jc w:val="both"/>
        <w:rPr>
          <w:rFonts w:cs="Tahoma"/>
          <w:b/>
          <w:color w:val="5292CC"/>
          <w:sz w:val="36"/>
          <w:szCs w:val="36"/>
        </w:rPr>
      </w:pPr>
      <w:r>
        <w:rPr>
          <w:rFonts w:cs="Tahoma"/>
          <w:b/>
          <w:color w:val="5292CC"/>
          <w:sz w:val="36"/>
          <w:szCs w:val="36"/>
        </w:rPr>
        <w:t>Prvi odziv na informacije o p</w:t>
      </w:r>
      <w:r w:rsidR="00B76D85">
        <w:rPr>
          <w:rFonts w:cs="Tahoma"/>
          <w:b/>
          <w:color w:val="5292CC"/>
          <w:sz w:val="36"/>
          <w:szCs w:val="36"/>
        </w:rPr>
        <w:t>redlog</w:t>
      </w:r>
      <w:r w:rsidR="00673B14">
        <w:rPr>
          <w:rFonts w:cs="Tahoma"/>
          <w:b/>
          <w:color w:val="5292CC"/>
          <w:sz w:val="36"/>
          <w:szCs w:val="36"/>
        </w:rPr>
        <w:t>u</w:t>
      </w:r>
      <w:r w:rsidR="00B76D85">
        <w:rPr>
          <w:rFonts w:cs="Tahoma"/>
          <w:b/>
          <w:color w:val="5292CC"/>
          <w:sz w:val="36"/>
          <w:szCs w:val="36"/>
        </w:rPr>
        <w:t xml:space="preserve"> davčnih sprememb</w:t>
      </w:r>
    </w:p>
    <w:p w14:paraId="289F6062" w14:textId="77777777" w:rsidR="00C73417" w:rsidRDefault="00B76D85" w:rsidP="001216B2">
      <w:pPr>
        <w:spacing w:after="0"/>
        <w:jc w:val="both"/>
        <w:rPr>
          <w:rFonts w:cs="Tahoma"/>
          <w:sz w:val="16"/>
          <w:szCs w:val="16"/>
        </w:rPr>
      </w:pPr>
      <w:r w:rsidRPr="00321B35">
        <w:rPr>
          <w:rFonts w:cs="Tahoma"/>
          <w:sz w:val="16"/>
          <w:szCs w:val="16"/>
        </w:rPr>
        <w:t>26</w:t>
      </w:r>
      <w:r w:rsidR="00C73417" w:rsidRPr="00321B35">
        <w:rPr>
          <w:rFonts w:cs="Tahoma"/>
          <w:sz w:val="16"/>
          <w:szCs w:val="16"/>
        </w:rPr>
        <w:t>. 2. 2019</w:t>
      </w:r>
    </w:p>
    <w:p w14:paraId="054148C7" w14:textId="77777777" w:rsidR="00B46431" w:rsidRPr="00B46431" w:rsidRDefault="00B46431" w:rsidP="001216B2">
      <w:pPr>
        <w:spacing w:after="0"/>
        <w:jc w:val="both"/>
        <w:rPr>
          <w:rFonts w:cs="Tahoma"/>
          <w:sz w:val="16"/>
          <w:szCs w:val="16"/>
        </w:rPr>
      </w:pPr>
    </w:p>
    <w:p w14:paraId="34919E1C" w14:textId="77777777" w:rsidR="007535F0" w:rsidRDefault="00673B14" w:rsidP="001216B2">
      <w:pPr>
        <w:tabs>
          <w:tab w:val="num" w:pos="720"/>
        </w:tabs>
        <w:jc w:val="both"/>
        <w:rPr>
          <w:rFonts w:cs="Tahoma"/>
          <w:b/>
        </w:rPr>
      </w:pPr>
      <w:r>
        <w:rPr>
          <w:rFonts w:cs="Tahoma"/>
          <w:b/>
        </w:rPr>
        <w:t>Predlog davčnih sprememb, ki ga je danes razkrilo ministrstvo za finance</w:t>
      </w:r>
      <w:r w:rsidR="0040187B">
        <w:rPr>
          <w:rFonts w:cs="Tahoma"/>
          <w:b/>
        </w:rPr>
        <w:t>,</w:t>
      </w:r>
      <w:r>
        <w:rPr>
          <w:rFonts w:cs="Tahoma"/>
          <w:b/>
        </w:rPr>
        <w:t xml:space="preserve"> je dobrodošla in dolgo pričakovana spodbuda k rasti plač</w:t>
      </w:r>
      <w:r w:rsidR="001216B2">
        <w:rPr>
          <w:rFonts w:cs="Tahoma"/>
          <w:b/>
        </w:rPr>
        <w:t xml:space="preserve"> in variabilnem nagrajevanju </w:t>
      </w:r>
      <w:r>
        <w:rPr>
          <w:rFonts w:cs="Tahoma"/>
          <w:b/>
        </w:rPr>
        <w:t>v slovenskem gospodarstvu. Vsi zaposleni so s tem na boljšem. Na</w:t>
      </w:r>
      <w:r w:rsidR="007535F0">
        <w:rPr>
          <w:rFonts w:cs="Tahoma"/>
          <w:b/>
        </w:rPr>
        <w:t xml:space="preserve"> drugi strani </w:t>
      </w:r>
      <w:r>
        <w:rPr>
          <w:rFonts w:cs="Tahoma"/>
          <w:b/>
        </w:rPr>
        <w:t>opozarjamo na prehiter in previsok</w:t>
      </w:r>
      <w:r w:rsidR="007535F0">
        <w:rPr>
          <w:rFonts w:cs="Tahoma"/>
          <w:b/>
        </w:rPr>
        <w:t xml:space="preserve"> dvig obdavčitve </w:t>
      </w:r>
      <w:r>
        <w:rPr>
          <w:rFonts w:cs="Tahoma"/>
          <w:b/>
        </w:rPr>
        <w:t xml:space="preserve">davka od dohodka pravnih oseb in </w:t>
      </w:r>
      <w:r w:rsidR="007535F0">
        <w:rPr>
          <w:rFonts w:cs="Tahoma"/>
          <w:b/>
        </w:rPr>
        <w:t>kapitala</w:t>
      </w:r>
      <w:r w:rsidR="004010B6">
        <w:rPr>
          <w:rFonts w:cs="Tahoma"/>
          <w:b/>
        </w:rPr>
        <w:t xml:space="preserve">, ki je glede na rekordne davčne prilive iz gospodarstva </w:t>
      </w:r>
      <w:r w:rsidR="00784328">
        <w:rPr>
          <w:rFonts w:cs="Tahoma"/>
          <w:b/>
        </w:rPr>
        <w:t xml:space="preserve">povsem </w:t>
      </w:r>
      <w:r w:rsidR="004010B6">
        <w:rPr>
          <w:rFonts w:cs="Tahoma"/>
          <w:b/>
        </w:rPr>
        <w:t>nepotreben</w:t>
      </w:r>
      <w:r>
        <w:rPr>
          <w:rFonts w:cs="Tahoma"/>
          <w:b/>
        </w:rPr>
        <w:t xml:space="preserve"> </w:t>
      </w:r>
      <w:r w:rsidR="0040187B">
        <w:rPr>
          <w:rFonts w:cs="Tahoma"/>
          <w:b/>
        </w:rPr>
        <w:t xml:space="preserve">in </w:t>
      </w:r>
      <w:r>
        <w:rPr>
          <w:rFonts w:cs="Tahoma"/>
          <w:b/>
        </w:rPr>
        <w:t>škodljiv</w:t>
      </w:r>
      <w:r w:rsidR="004010B6">
        <w:rPr>
          <w:rFonts w:cs="Tahoma"/>
          <w:b/>
        </w:rPr>
        <w:t>.</w:t>
      </w:r>
    </w:p>
    <w:p w14:paraId="516B6B44" w14:textId="77777777" w:rsidR="007535F0" w:rsidRDefault="007535F0" w:rsidP="001216B2">
      <w:pPr>
        <w:tabs>
          <w:tab w:val="num" w:pos="720"/>
        </w:tabs>
        <w:jc w:val="both"/>
        <w:rPr>
          <w:rFonts w:cs="Tahoma"/>
          <w:b/>
        </w:rPr>
      </w:pPr>
    </w:p>
    <w:p w14:paraId="20FEFA67" w14:textId="77777777" w:rsidR="0040187B" w:rsidRDefault="007535F0" w:rsidP="001216B2">
      <w:pPr>
        <w:spacing w:after="240"/>
        <w:jc w:val="both"/>
        <w:rPr>
          <w:rFonts w:cs="Tahoma"/>
        </w:rPr>
      </w:pPr>
      <w:r>
        <w:rPr>
          <w:rFonts w:cs="Tahoma"/>
        </w:rPr>
        <w:t xml:space="preserve">Na GZS že več let opozarjamo, da je obremenjenost dela </w:t>
      </w:r>
      <w:r w:rsidR="001216B2">
        <w:rPr>
          <w:rFonts w:cs="Tahoma"/>
        </w:rPr>
        <w:t xml:space="preserve">z davki in prispevki </w:t>
      </w:r>
      <w:r>
        <w:rPr>
          <w:rFonts w:cs="Tahoma"/>
        </w:rPr>
        <w:t xml:space="preserve">v Sloveniji prekomerna, zlasti pri ključnih kadrih, ki največ prispevajo k dodani vrednosti </w:t>
      </w:r>
      <w:r w:rsidR="001216B2">
        <w:rPr>
          <w:rFonts w:cs="Tahoma"/>
        </w:rPr>
        <w:t>v podjetju</w:t>
      </w:r>
      <w:r>
        <w:rPr>
          <w:rFonts w:cs="Tahoma"/>
        </w:rPr>
        <w:t>. Zato si prizadevamo za</w:t>
      </w:r>
      <w:r w:rsidR="001216B2">
        <w:rPr>
          <w:rFonts w:cs="Tahoma"/>
        </w:rPr>
        <w:t xml:space="preserve"> takšno </w:t>
      </w:r>
      <w:r>
        <w:rPr>
          <w:rFonts w:cs="Tahoma"/>
        </w:rPr>
        <w:t>davčno razbremenitev dela, ki bi se odrazila v občutnem dvigu neto plač zaposlenih in krepitvi</w:t>
      </w:r>
      <w:r w:rsidR="004010B6">
        <w:rPr>
          <w:rFonts w:cs="Tahoma"/>
        </w:rPr>
        <w:t xml:space="preserve"> </w:t>
      </w:r>
      <w:r>
        <w:rPr>
          <w:rFonts w:cs="Tahoma"/>
        </w:rPr>
        <w:t>srednjega razreda</w:t>
      </w:r>
      <w:r w:rsidR="00673B14">
        <w:rPr>
          <w:rFonts w:cs="Tahoma"/>
        </w:rPr>
        <w:t xml:space="preserve"> ter variabilnega nagrajevanja</w:t>
      </w:r>
      <w:r>
        <w:rPr>
          <w:rFonts w:cs="Tahoma"/>
        </w:rPr>
        <w:t xml:space="preserve">. </w:t>
      </w:r>
    </w:p>
    <w:p w14:paraId="70D90E11" w14:textId="77777777" w:rsidR="00321B35" w:rsidRPr="00321B35" w:rsidRDefault="007535F0" w:rsidP="001216B2">
      <w:pPr>
        <w:spacing w:after="240"/>
        <w:jc w:val="both"/>
        <w:rPr>
          <w:rFonts w:cs="Tahoma"/>
        </w:rPr>
      </w:pPr>
      <w:r>
        <w:rPr>
          <w:rFonts w:cs="Tahoma"/>
        </w:rPr>
        <w:t xml:space="preserve">Po prvem koraku, storjenem konec leta 2017, ko je prišlo do </w:t>
      </w:r>
      <w:r w:rsidR="00784328">
        <w:rPr>
          <w:rFonts w:cs="Tahoma"/>
        </w:rPr>
        <w:t xml:space="preserve">manjše </w:t>
      </w:r>
      <w:r>
        <w:rPr>
          <w:rFonts w:cs="Tahoma"/>
        </w:rPr>
        <w:t>ublažitve davčnega primeža pri nagradah za poslovno uspešnost, je pohvalno, da je ministrstvo za finance resno pristopilo k spremembi</w:t>
      </w:r>
      <w:r w:rsidR="001216B2">
        <w:rPr>
          <w:rFonts w:cs="Tahoma"/>
        </w:rPr>
        <w:t xml:space="preserve"> širše</w:t>
      </w:r>
      <w:r>
        <w:rPr>
          <w:rFonts w:cs="Tahoma"/>
        </w:rPr>
        <w:t xml:space="preserve"> davčne zakonodaje</w:t>
      </w:r>
      <w:r w:rsidR="004010B6">
        <w:rPr>
          <w:rFonts w:cs="Tahoma"/>
        </w:rPr>
        <w:t xml:space="preserve"> na področju dela</w:t>
      </w:r>
      <w:r w:rsidR="001E2243">
        <w:rPr>
          <w:rFonts w:cs="Tahoma"/>
        </w:rPr>
        <w:t xml:space="preserve">. </w:t>
      </w:r>
      <w:r w:rsidR="00321B35" w:rsidRPr="00321B35">
        <w:rPr>
          <w:rFonts w:cs="Tahoma"/>
        </w:rPr>
        <w:t>Zakonodajni paket je ambiciozen, saj bo dohodke od dela razbremenil za okoli 270 mio EUR</w:t>
      </w:r>
      <w:r w:rsidR="00826CB1">
        <w:rPr>
          <w:rFonts w:cs="Tahoma"/>
        </w:rPr>
        <w:t xml:space="preserve"> letno, kar je okoli 0,6</w:t>
      </w:r>
      <w:r w:rsidR="00321B35" w:rsidRPr="00321B35">
        <w:rPr>
          <w:rFonts w:cs="Tahoma"/>
        </w:rPr>
        <w:t xml:space="preserve"> % BDP. </w:t>
      </w:r>
    </w:p>
    <w:p w14:paraId="51FD9B69" w14:textId="77777777" w:rsidR="00321B35" w:rsidRPr="00321B35" w:rsidRDefault="0040187B" w:rsidP="001216B2">
      <w:pPr>
        <w:spacing w:after="240"/>
        <w:jc w:val="both"/>
        <w:rPr>
          <w:rFonts w:cs="Tahoma"/>
        </w:rPr>
      </w:pPr>
      <w:r>
        <w:rPr>
          <w:rFonts w:cs="Tahoma"/>
        </w:rPr>
        <w:t xml:space="preserve">S predlaganim </w:t>
      </w:r>
      <w:r w:rsidR="00321B35" w:rsidRPr="00321B35">
        <w:rPr>
          <w:rFonts w:cs="Tahoma"/>
        </w:rPr>
        <w:t xml:space="preserve">dvigom splošne olajšave, </w:t>
      </w:r>
      <w:r>
        <w:rPr>
          <w:rFonts w:cs="Tahoma"/>
        </w:rPr>
        <w:t xml:space="preserve">širitvijo </w:t>
      </w:r>
      <w:r w:rsidR="00784328">
        <w:rPr>
          <w:rFonts w:cs="Tahoma"/>
        </w:rPr>
        <w:t xml:space="preserve">dohodninskih </w:t>
      </w:r>
      <w:r w:rsidR="00321B35" w:rsidRPr="00321B35">
        <w:rPr>
          <w:rFonts w:cs="Tahoma"/>
        </w:rPr>
        <w:t xml:space="preserve">razredov in znižanjem </w:t>
      </w:r>
      <w:r>
        <w:rPr>
          <w:rFonts w:cs="Tahoma"/>
        </w:rPr>
        <w:t>bi</w:t>
      </w:r>
      <w:r w:rsidR="00321B35" w:rsidRPr="00321B35">
        <w:rPr>
          <w:rFonts w:cs="Tahoma"/>
        </w:rPr>
        <w:t xml:space="preserve"> država razbremen</w:t>
      </w:r>
      <w:r>
        <w:rPr>
          <w:rFonts w:cs="Tahoma"/>
        </w:rPr>
        <w:t xml:space="preserve">ila </w:t>
      </w:r>
      <w:r w:rsidR="00321B35" w:rsidRPr="00321B35">
        <w:rPr>
          <w:rFonts w:cs="Tahoma"/>
        </w:rPr>
        <w:t>vse</w:t>
      </w:r>
      <w:r>
        <w:rPr>
          <w:rFonts w:cs="Tahoma"/>
        </w:rPr>
        <w:t xml:space="preserve"> zaposlene</w:t>
      </w:r>
      <w:r w:rsidR="00321B35" w:rsidRPr="00321B35">
        <w:rPr>
          <w:rFonts w:cs="Tahoma"/>
        </w:rPr>
        <w:t>, tako tiste z minimalno plačo kot visoko izobražene strokovnjake</w:t>
      </w:r>
      <w:r>
        <w:rPr>
          <w:rFonts w:cs="Tahoma"/>
        </w:rPr>
        <w:t>, kar je zelo dobrodošlo.</w:t>
      </w:r>
      <w:r w:rsidR="00321B35" w:rsidRPr="00321B35">
        <w:rPr>
          <w:rFonts w:cs="Tahoma"/>
        </w:rPr>
        <w:t xml:space="preserve"> </w:t>
      </w:r>
      <w:r w:rsidR="00784328">
        <w:rPr>
          <w:rFonts w:cs="Tahoma"/>
        </w:rPr>
        <w:t xml:space="preserve">Tako se </w:t>
      </w:r>
      <w:r w:rsidR="00321B35" w:rsidRPr="00321B35">
        <w:rPr>
          <w:rFonts w:cs="Tahoma"/>
        </w:rPr>
        <w:t>bo povečal razpoložljiv</w:t>
      </w:r>
      <w:r w:rsidR="00784328">
        <w:rPr>
          <w:rFonts w:cs="Tahoma"/>
        </w:rPr>
        <w:t>i</w:t>
      </w:r>
      <w:r w:rsidR="00321B35" w:rsidRPr="00321B35">
        <w:rPr>
          <w:rFonts w:cs="Tahoma"/>
        </w:rPr>
        <w:t xml:space="preserve"> dohod</w:t>
      </w:r>
      <w:r w:rsidR="00784328">
        <w:rPr>
          <w:rFonts w:cs="Tahoma"/>
        </w:rPr>
        <w:t>e</w:t>
      </w:r>
      <w:r w:rsidR="00321B35" w:rsidRPr="00321B35">
        <w:rPr>
          <w:rFonts w:cs="Tahoma"/>
        </w:rPr>
        <w:t>k slovenskih gospodinjstev</w:t>
      </w:r>
      <w:r w:rsidR="001E2243">
        <w:rPr>
          <w:rFonts w:cs="Tahoma"/>
        </w:rPr>
        <w:t xml:space="preserve">, </w:t>
      </w:r>
      <w:r>
        <w:rPr>
          <w:rFonts w:cs="Tahoma"/>
        </w:rPr>
        <w:t xml:space="preserve">s tem pa življenjski standard ljudi, </w:t>
      </w:r>
      <w:r w:rsidR="00321B35" w:rsidRPr="00321B35">
        <w:rPr>
          <w:rFonts w:cs="Tahoma"/>
        </w:rPr>
        <w:t>domač</w:t>
      </w:r>
      <w:r>
        <w:rPr>
          <w:rFonts w:cs="Tahoma"/>
        </w:rPr>
        <w:t>a</w:t>
      </w:r>
      <w:r w:rsidR="001216B2">
        <w:rPr>
          <w:rFonts w:cs="Tahoma"/>
        </w:rPr>
        <w:t xml:space="preserve"> potrošnj</w:t>
      </w:r>
      <w:r>
        <w:rPr>
          <w:rFonts w:cs="Tahoma"/>
        </w:rPr>
        <w:t>a</w:t>
      </w:r>
      <w:r w:rsidR="001216B2">
        <w:rPr>
          <w:rFonts w:cs="Tahoma"/>
        </w:rPr>
        <w:t xml:space="preserve"> </w:t>
      </w:r>
      <w:r>
        <w:rPr>
          <w:rFonts w:cs="Tahoma"/>
        </w:rPr>
        <w:t xml:space="preserve">in </w:t>
      </w:r>
      <w:r w:rsidR="00321B35" w:rsidRPr="00321B35">
        <w:rPr>
          <w:rFonts w:cs="Tahoma"/>
        </w:rPr>
        <w:t>davčn</w:t>
      </w:r>
      <w:r>
        <w:rPr>
          <w:rFonts w:cs="Tahoma"/>
        </w:rPr>
        <w:t>i</w:t>
      </w:r>
      <w:r w:rsidR="00321B35" w:rsidRPr="00321B35">
        <w:rPr>
          <w:rFonts w:cs="Tahoma"/>
        </w:rPr>
        <w:t xml:space="preserve"> priliv</w:t>
      </w:r>
      <w:r>
        <w:rPr>
          <w:rFonts w:cs="Tahoma"/>
        </w:rPr>
        <w:t>i</w:t>
      </w:r>
      <w:r w:rsidR="00321B35" w:rsidRPr="00321B35">
        <w:rPr>
          <w:rFonts w:cs="Tahoma"/>
        </w:rPr>
        <w:t xml:space="preserve">. </w:t>
      </w:r>
      <w:r w:rsidR="001216B2">
        <w:rPr>
          <w:rFonts w:cs="Tahoma"/>
        </w:rPr>
        <w:t xml:space="preserve">Del razbremenitve bo tako zopet končal v davčnem proračunu v obliki drugih davkov. </w:t>
      </w:r>
    </w:p>
    <w:p w14:paraId="093FE117" w14:textId="77777777" w:rsidR="001E2243" w:rsidRDefault="00784328" w:rsidP="001216B2">
      <w:pPr>
        <w:pStyle w:val="Golobesedilo"/>
        <w:spacing w:after="2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Pozitivno je, </w:t>
      </w:r>
      <w:r w:rsidR="001E2243">
        <w:rPr>
          <w:rFonts w:ascii="Tahoma" w:hAnsi="Tahoma" w:cs="Tahoma"/>
          <w:sz w:val="24"/>
          <w:szCs w:val="24"/>
        </w:rPr>
        <w:t>da je ministrstvo za finance sledilo pobudam za večjo razbremenitev regresa in nagrade za poslovno</w:t>
      </w:r>
      <w:r w:rsidR="00673B14">
        <w:rPr>
          <w:rFonts w:ascii="Tahoma" w:hAnsi="Tahoma" w:cs="Tahoma"/>
          <w:sz w:val="24"/>
          <w:szCs w:val="24"/>
        </w:rPr>
        <w:t xml:space="preserve"> uspešnost, kakor tudi spremembam pri dohodninski</w:t>
      </w:r>
      <w:r w:rsidR="001E2243">
        <w:rPr>
          <w:rFonts w:ascii="Tahoma" w:hAnsi="Tahoma" w:cs="Tahoma"/>
          <w:sz w:val="24"/>
          <w:szCs w:val="24"/>
        </w:rPr>
        <w:t xml:space="preserve"> les</w:t>
      </w:r>
      <w:r w:rsidR="00673B14">
        <w:rPr>
          <w:rFonts w:ascii="Tahoma" w:hAnsi="Tahoma" w:cs="Tahoma"/>
          <w:sz w:val="24"/>
          <w:szCs w:val="24"/>
        </w:rPr>
        <w:t>tvici</w:t>
      </w:r>
      <w:r w:rsidR="001E2243">
        <w:rPr>
          <w:rFonts w:ascii="Tahoma" w:hAnsi="Tahoma" w:cs="Tahoma"/>
          <w:sz w:val="24"/>
          <w:szCs w:val="24"/>
        </w:rPr>
        <w:t xml:space="preserve">, s katero </w:t>
      </w:r>
      <w:r w:rsidR="00673B14">
        <w:rPr>
          <w:rFonts w:ascii="Tahoma" w:hAnsi="Tahoma" w:cs="Tahoma"/>
          <w:sz w:val="24"/>
          <w:szCs w:val="24"/>
        </w:rPr>
        <w:t>naj bi se</w:t>
      </w:r>
      <w:r>
        <w:rPr>
          <w:rFonts w:ascii="Tahoma" w:hAnsi="Tahoma" w:cs="Tahoma"/>
          <w:sz w:val="24"/>
          <w:szCs w:val="24"/>
        </w:rPr>
        <w:t xml:space="preserve"> </w:t>
      </w:r>
      <w:r w:rsidR="001E2243">
        <w:rPr>
          <w:rFonts w:ascii="Tahoma" w:hAnsi="Tahoma" w:cs="Tahoma"/>
          <w:sz w:val="24"/>
          <w:szCs w:val="24"/>
        </w:rPr>
        <w:t>nekoliko ublažil</w:t>
      </w:r>
      <w:r>
        <w:rPr>
          <w:rFonts w:ascii="Tahoma" w:hAnsi="Tahoma" w:cs="Tahoma"/>
          <w:sz w:val="24"/>
          <w:szCs w:val="24"/>
        </w:rPr>
        <w:t>a</w:t>
      </w:r>
      <w:r w:rsidR="001E224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davčna </w:t>
      </w:r>
      <w:r w:rsidR="001E2243">
        <w:rPr>
          <w:rFonts w:ascii="Tahoma" w:hAnsi="Tahoma" w:cs="Tahoma"/>
          <w:sz w:val="24"/>
          <w:szCs w:val="24"/>
        </w:rPr>
        <w:t>progresij</w:t>
      </w:r>
      <w:r>
        <w:rPr>
          <w:rFonts w:ascii="Tahoma" w:hAnsi="Tahoma" w:cs="Tahoma"/>
          <w:sz w:val="24"/>
          <w:szCs w:val="24"/>
        </w:rPr>
        <w:t>a</w:t>
      </w:r>
      <w:r w:rsidR="001E2243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D</w:t>
      </w:r>
      <w:r w:rsidR="00673B14">
        <w:rPr>
          <w:rFonts w:ascii="Tahoma" w:hAnsi="Tahoma" w:cs="Tahoma"/>
          <w:sz w:val="24"/>
          <w:szCs w:val="24"/>
        </w:rPr>
        <w:t xml:space="preserve">avkov in prispevkov </w:t>
      </w:r>
      <w:r w:rsidR="00321B35" w:rsidRPr="00321B35">
        <w:rPr>
          <w:rFonts w:ascii="Tahoma" w:hAnsi="Tahoma" w:cs="Tahoma"/>
          <w:sz w:val="24"/>
          <w:szCs w:val="24"/>
        </w:rPr>
        <w:t>razbremen</w:t>
      </w:r>
      <w:r w:rsidR="001E2243">
        <w:rPr>
          <w:rFonts w:ascii="Tahoma" w:hAnsi="Tahoma" w:cs="Tahoma"/>
          <w:sz w:val="24"/>
          <w:szCs w:val="24"/>
        </w:rPr>
        <w:t xml:space="preserve">jen </w:t>
      </w:r>
      <w:r w:rsidR="00321B35" w:rsidRPr="00321B35">
        <w:rPr>
          <w:rFonts w:ascii="Tahoma" w:hAnsi="Tahoma" w:cs="Tahoma"/>
          <w:sz w:val="24"/>
          <w:szCs w:val="24"/>
        </w:rPr>
        <w:t xml:space="preserve">regres </w:t>
      </w:r>
      <w:r w:rsidR="00673B14">
        <w:rPr>
          <w:rFonts w:ascii="Tahoma" w:hAnsi="Tahoma" w:cs="Tahoma"/>
          <w:sz w:val="24"/>
          <w:szCs w:val="24"/>
        </w:rPr>
        <w:t xml:space="preserve">do višine povprečne plače </w:t>
      </w:r>
      <w:r>
        <w:rPr>
          <w:rFonts w:ascii="Tahoma" w:hAnsi="Tahoma" w:cs="Tahoma"/>
          <w:sz w:val="24"/>
          <w:szCs w:val="24"/>
        </w:rPr>
        <w:t xml:space="preserve">bo </w:t>
      </w:r>
      <w:r w:rsidR="00321B35" w:rsidRPr="00321B35">
        <w:rPr>
          <w:rFonts w:ascii="Tahoma" w:hAnsi="Tahoma" w:cs="Tahoma"/>
          <w:sz w:val="24"/>
          <w:szCs w:val="24"/>
        </w:rPr>
        <w:t xml:space="preserve">spodbudil podjetja k večjem izplačilu regresa. </w:t>
      </w:r>
      <w:r>
        <w:rPr>
          <w:rFonts w:ascii="Tahoma" w:hAnsi="Tahoma" w:cs="Tahoma"/>
          <w:sz w:val="24"/>
          <w:szCs w:val="24"/>
        </w:rPr>
        <w:t xml:space="preserve">Podoben učinek bo zaznati tudi pri </w:t>
      </w:r>
      <w:r w:rsidR="001E2243">
        <w:rPr>
          <w:rFonts w:ascii="Tahoma" w:hAnsi="Tahoma" w:cs="Tahoma"/>
          <w:sz w:val="24"/>
          <w:szCs w:val="24"/>
        </w:rPr>
        <w:t>n</w:t>
      </w:r>
      <w:r w:rsidR="00321B35" w:rsidRPr="00321B35">
        <w:rPr>
          <w:rFonts w:ascii="Tahoma" w:hAnsi="Tahoma" w:cs="Tahoma"/>
          <w:sz w:val="24"/>
          <w:szCs w:val="24"/>
        </w:rPr>
        <w:t>agrad</w:t>
      </w:r>
      <w:r>
        <w:rPr>
          <w:rFonts w:ascii="Tahoma" w:hAnsi="Tahoma" w:cs="Tahoma"/>
          <w:sz w:val="24"/>
          <w:szCs w:val="24"/>
        </w:rPr>
        <w:t>i</w:t>
      </w:r>
      <w:r w:rsidR="00321B35" w:rsidRPr="00321B35">
        <w:rPr>
          <w:rFonts w:ascii="Tahoma" w:hAnsi="Tahoma" w:cs="Tahoma"/>
          <w:sz w:val="24"/>
          <w:szCs w:val="24"/>
        </w:rPr>
        <w:t xml:space="preserve"> za poslovno uspešnost, ki je pomemben motivacijski instrument v podjetjih, ki dobro poslujejo</w:t>
      </w:r>
      <w:r w:rsidR="00673B14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="001E2243">
        <w:rPr>
          <w:rFonts w:ascii="Tahoma" w:hAnsi="Tahoma" w:cs="Tahoma"/>
          <w:sz w:val="24"/>
          <w:szCs w:val="24"/>
        </w:rPr>
        <w:t>Vsi ti ukrepi bodo imeli pozitivne učinke</w:t>
      </w:r>
      <w:r w:rsidR="00BC5821">
        <w:rPr>
          <w:rFonts w:ascii="Tahoma" w:hAnsi="Tahoma" w:cs="Tahoma"/>
          <w:sz w:val="24"/>
          <w:szCs w:val="24"/>
        </w:rPr>
        <w:t>, pogrešamo pa uvedbo razvoje kapic</w:t>
      </w:r>
      <w:r w:rsidR="00673B14">
        <w:rPr>
          <w:rFonts w:ascii="Tahoma" w:hAnsi="Tahoma" w:cs="Tahoma"/>
          <w:sz w:val="24"/>
          <w:szCs w:val="24"/>
        </w:rPr>
        <w:t>e in pričakujemo, da bo tudi 50-odstotna</w:t>
      </w:r>
      <w:r w:rsidR="00BC5821">
        <w:rPr>
          <w:rFonts w:ascii="Tahoma" w:hAnsi="Tahoma" w:cs="Tahoma"/>
          <w:sz w:val="24"/>
          <w:szCs w:val="24"/>
        </w:rPr>
        <w:t xml:space="preserve"> dohodninska stopnja, ki je bila uvedena kot </w:t>
      </w:r>
      <w:r w:rsidR="00673B14">
        <w:rPr>
          <w:rFonts w:ascii="Tahoma" w:hAnsi="Tahoma" w:cs="Tahoma"/>
          <w:sz w:val="24"/>
          <w:szCs w:val="24"/>
        </w:rPr>
        <w:t>začasni krizni ukrep, umaknjena, saj so davčni prilivi iz tega naslova skromni ter ne spodbujajo izplačevanj</w:t>
      </w:r>
      <w:r w:rsidR="0040187B">
        <w:rPr>
          <w:rFonts w:ascii="Tahoma" w:hAnsi="Tahoma" w:cs="Tahoma"/>
          <w:sz w:val="24"/>
          <w:szCs w:val="24"/>
        </w:rPr>
        <w:t>a</w:t>
      </w:r>
      <w:r w:rsidR="00673B14">
        <w:rPr>
          <w:rFonts w:ascii="Tahoma" w:hAnsi="Tahoma" w:cs="Tahoma"/>
          <w:sz w:val="24"/>
          <w:szCs w:val="24"/>
        </w:rPr>
        <w:t xml:space="preserve"> visokih plač. </w:t>
      </w:r>
      <w:r w:rsidR="00BC5821">
        <w:rPr>
          <w:rFonts w:ascii="Tahoma" w:hAnsi="Tahoma" w:cs="Tahoma"/>
          <w:sz w:val="24"/>
          <w:szCs w:val="24"/>
        </w:rPr>
        <w:t xml:space="preserve"> </w:t>
      </w:r>
    </w:p>
    <w:p w14:paraId="72AAEFF1" w14:textId="77777777" w:rsidR="00EC4E9E" w:rsidRDefault="00BC5821" w:rsidP="001216B2">
      <w:pPr>
        <w:pStyle w:val="Golobesedilo"/>
        <w:spacing w:after="2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1E2243">
        <w:rPr>
          <w:rFonts w:ascii="Tahoma" w:hAnsi="Tahoma" w:cs="Tahoma"/>
          <w:sz w:val="24"/>
          <w:szCs w:val="24"/>
        </w:rPr>
        <w:t xml:space="preserve">ogledati </w:t>
      </w:r>
      <w:r>
        <w:rPr>
          <w:rFonts w:ascii="Tahoma" w:hAnsi="Tahoma" w:cs="Tahoma"/>
          <w:sz w:val="24"/>
          <w:szCs w:val="24"/>
        </w:rPr>
        <w:t xml:space="preserve">pa je treba </w:t>
      </w:r>
      <w:r w:rsidR="001E2243">
        <w:rPr>
          <w:rFonts w:ascii="Tahoma" w:hAnsi="Tahoma" w:cs="Tahoma"/>
          <w:sz w:val="24"/>
          <w:szCs w:val="24"/>
        </w:rPr>
        <w:t>tudi na drugo stran</w:t>
      </w:r>
      <w:r w:rsidR="00673B14">
        <w:rPr>
          <w:rFonts w:ascii="Tahoma" w:hAnsi="Tahoma" w:cs="Tahoma"/>
          <w:sz w:val="24"/>
          <w:szCs w:val="24"/>
        </w:rPr>
        <w:t xml:space="preserve"> davčnih sprememb</w:t>
      </w:r>
      <w:r w:rsidR="001E2243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Mora gospodarstvo res plačati še 110 mio EUR več v davčno blagajno? </w:t>
      </w:r>
      <w:r w:rsidR="001E2243">
        <w:rPr>
          <w:rFonts w:ascii="Tahoma" w:hAnsi="Tahoma" w:cs="Tahoma"/>
          <w:sz w:val="24"/>
          <w:szCs w:val="24"/>
        </w:rPr>
        <w:t xml:space="preserve">Glede na visoke prilive v proračun </w:t>
      </w:r>
      <w:r w:rsidR="007D11E6">
        <w:rPr>
          <w:rFonts w:ascii="Tahoma" w:hAnsi="Tahoma" w:cs="Tahoma"/>
          <w:sz w:val="24"/>
          <w:szCs w:val="24"/>
        </w:rPr>
        <w:t>zaradi</w:t>
      </w:r>
      <w:r w:rsidR="001E2243">
        <w:rPr>
          <w:rFonts w:ascii="Tahoma" w:hAnsi="Tahoma" w:cs="Tahoma"/>
          <w:sz w:val="24"/>
          <w:szCs w:val="24"/>
        </w:rPr>
        <w:t xml:space="preserve"> povečanega obsega zaposlovanja, </w:t>
      </w:r>
      <w:r w:rsidR="003055E3">
        <w:rPr>
          <w:rFonts w:ascii="Tahoma" w:hAnsi="Tahoma" w:cs="Tahoma"/>
          <w:sz w:val="24"/>
          <w:szCs w:val="24"/>
        </w:rPr>
        <w:t xml:space="preserve">večjega DDV zaradi </w:t>
      </w:r>
      <w:r w:rsidR="001E2243">
        <w:rPr>
          <w:rFonts w:ascii="Tahoma" w:hAnsi="Tahoma" w:cs="Tahoma"/>
          <w:sz w:val="24"/>
          <w:szCs w:val="24"/>
        </w:rPr>
        <w:t xml:space="preserve">večjega prometa </w:t>
      </w:r>
      <w:r w:rsidR="003055E3">
        <w:rPr>
          <w:rFonts w:ascii="Tahoma" w:hAnsi="Tahoma" w:cs="Tahoma"/>
          <w:sz w:val="24"/>
          <w:szCs w:val="24"/>
        </w:rPr>
        <w:t>podjetij in potrošnje ter</w:t>
      </w:r>
      <w:r w:rsidR="001E2243">
        <w:rPr>
          <w:rFonts w:ascii="Tahoma" w:hAnsi="Tahoma" w:cs="Tahoma"/>
          <w:sz w:val="24"/>
          <w:szCs w:val="24"/>
        </w:rPr>
        <w:t xml:space="preserve"> višjega dobička</w:t>
      </w:r>
      <w:r w:rsidR="003055E3">
        <w:rPr>
          <w:rFonts w:ascii="Tahoma" w:hAnsi="Tahoma" w:cs="Tahoma"/>
          <w:sz w:val="24"/>
          <w:szCs w:val="24"/>
        </w:rPr>
        <w:t xml:space="preserve"> </w:t>
      </w:r>
      <w:r w:rsidR="001E2243">
        <w:rPr>
          <w:rFonts w:ascii="Tahoma" w:hAnsi="Tahoma" w:cs="Tahoma"/>
          <w:sz w:val="24"/>
          <w:szCs w:val="24"/>
        </w:rPr>
        <w:t xml:space="preserve">ocenjujemo, da </w:t>
      </w:r>
      <w:r w:rsidR="003055E3">
        <w:rPr>
          <w:rFonts w:ascii="Tahoma" w:hAnsi="Tahoma" w:cs="Tahoma"/>
          <w:sz w:val="24"/>
          <w:szCs w:val="24"/>
        </w:rPr>
        <w:t>n</w:t>
      </w:r>
      <w:r w:rsidR="00673B14">
        <w:rPr>
          <w:rFonts w:ascii="Tahoma" w:hAnsi="Tahoma" w:cs="Tahoma"/>
          <w:sz w:val="24"/>
          <w:szCs w:val="24"/>
        </w:rPr>
        <w:t xml:space="preserve">i potrebe po tako visokem </w:t>
      </w:r>
      <w:r w:rsidR="001216B2">
        <w:rPr>
          <w:rFonts w:ascii="Tahoma" w:hAnsi="Tahoma" w:cs="Tahoma"/>
          <w:sz w:val="24"/>
          <w:szCs w:val="24"/>
        </w:rPr>
        <w:t>dvigu</w:t>
      </w:r>
      <w:r w:rsidR="003055E3">
        <w:rPr>
          <w:rFonts w:ascii="Tahoma" w:hAnsi="Tahoma" w:cs="Tahoma"/>
          <w:sz w:val="24"/>
          <w:szCs w:val="24"/>
        </w:rPr>
        <w:t xml:space="preserve"> </w:t>
      </w:r>
      <w:r w:rsidR="001216B2">
        <w:rPr>
          <w:rFonts w:ascii="Tahoma" w:hAnsi="Tahoma" w:cs="Tahoma"/>
          <w:sz w:val="24"/>
          <w:szCs w:val="24"/>
        </w:rPr>
        <w:t xml:space="preserve">davčnih stopenj na dohodek </w:t>
      </w:r>
      <w:r w:rsidR="001E2243">
        <w:rPr>
          <w:rFonts w:ascii="Tahoma" w:hAnsi="Tahoma" w:cs="Tahoma"/>
          <w:sz w:val="24"/>
          <w:szCs w:val="24"/>
        </w:rPr>
        <w:t>pravnih oseb</w:t>
      </w:r>
      <w:r w:rsidR="003055E3">
        <w:rPr>
          <w:rFonts w:ascii="Tahoma" w:hAnsi="Tahoma" w:cs="Tahoma"/>
          <w:sz w:val="24"/>
          <w:szCs w:val="24"/>
        </w:rPr>
        <w:t xml:space="preserve">. V tem delu priporočamo </w:t>
      </w:r>
      <w:r w:rsidR="00784328">
        <w:rPr>
          <w:rFonts w:ascii="Tahoma" w:hAnsi="Tahoma" w:cs="Tahoma"/>
          <w:sz w:val="24"/>
          <w:szCs w:val="24"/>
        </w:rPr>
        <w:t xml:space="preserve">bistveno </w:t>
      </w:r>
      <w:r w:rsidR="003055E3">
        <w:rPr>
          <w:rFonts w:ascii="Tahoma" w:hAnsi="Tahoma" w:cs="Tahoma"/>
          <w:sz w:val="24"/>
          <w:szCs w:val="24"/>
        </w:rPr>
        <w:t>večjo zmernost</w:t>
      </w:r>
      <w:r>
        <w:rPr>
          <w:rFonts w:ascii="Tahoma" w:hAnsi="Tahoma" w:cs="Tahoma"/>
          <w:sz w:val="24"/>
          <w:szCs w:val="24"/>
        </w:rPr>
        <w:t>. U</w:t>
      </w:r>
      <w:r w:rsidR="00784328">
        <w:rPr>
          <w:rFonts w:ascii="Tahoma" w:hAnsi="Tahoma" w:cs="Tahoma"/>
          <w:sz w:val="24"/>
          <w:szCs w:val="24"/>
        </w:rPr>
        <w:t>vedba spodnje efektivne davčne stopnje in dvig obdavčitve za tri odstotne točke</w:t>
      </w:r>
      <w:r w:rsidR="0040187B">
        <w:rPr>
          <w:rFonts w:ascii="Tahoma" w:hAnsi="Tahoma" w:cs="Tahoma"/>
          <w:sz w:val="24"/>
          <w:szCs w:val="24"/>
        </w:rPr>
        <w:t xml:space="preserve">, kar pomeni </w:t>
      </w:r>
      <w:r w:rsidR="00EC4E9E">
        <w:rPr>
          <w:rFonts w:ascii="Tahoma" w:hAnsi="Tahoma" w:cs="Tahoma"/>
          <w:sz w:val="24"/>
          <w:szCs w:val="24"/>
        </w:rPr>
        <w:t xml:space="preserve">kar </w:t>
      </w:r>
      <w:r w:rsidR="0040187B">
        <w:rPr>
          <w:rFonts w:ascii="Tahoma" w:hAnsi="Tahoma" w:cs="Tahoma"/>
          <w:sz w:val="24"/>
          <w:szCs w:val="24"/>
        </w:rPr>
        <w:t>16%</w:t>
      </w:r>
      <w:r w:rsidR="00784328">
        <w:rPr>
          <w:rFonts w:ascii="Tahoma" w:hAnsi="Tahoma" w:cs="Tahoma"/>
          <w:sz w:val="24"/>
          <w:szCs w:val="24"/>
        </w:rPr>
        <w:t xml:space="preserve"> </w:t>
      </w:r>
      <w:r w:rsidR="00EC4E9E">
        <w:rPr>
          <w:rFonts w:ascii="Tahoma" w:hAnsi="Tahoma" w:cs="Tahoma"/>
          <w:sz w:val="24"/>
          <w:szCs w:val="24"/>
        </w:rPr>
        <w:t xml:space="preserve">višjo obdavčitev, </w:t>
      </w:r>
      <w:r w:rsidR="00784328">
        <w:rPr>
          <w:rFonts w:ascii="Tahoma" w:hAnsi="Tahoma" w:cs="Tahoma"/>
          <w:sz w:val="24"/>
          <w:szCs w:val="24"/>
        </w:rPr>
        <w:t xml:space="preserve">do leta 2022 sta pretiran poseg. </w:t>
      </w:r>
    </w:p>
    <w:p w14:paraId="22C3E06C" w14:textId="77777777" w:rsidR="00BC5821" w:rsidRPr="001E0668" w:rsidRDefault="00784328" w:rsidP="001216B2">
      <w:pPr>
        <w:pStyle w:val="Golobesedilo"/>
        <w:spacing w:after="24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Ravno tako </w:t>
      </w:r>
      <w:r w:rsidR="001216B2">
        <w:rPr>
          <w:rFonts w:ascii="Tahoma" w:hAnsi="Tahoma" w:cs="Tahoma"/>
          <w:sz w:val="24"/>
          <w:szCs w:val="24"/>
        </w:rPr>
        <w:t xml:space="preserve">je </w:t>
      </w:r>
      <w:r>
        <w:rPr>
          <w:rFonts w:ascii="Tahoma" w:hAnsi="Tahoma" w:cs="Tahoma"/>
          <w:sz w:val="24"/>
          <w:szCs w:val="24"/>
        </w:rPr>
        <w:t xml:space="preserve">dvig </w:t>
      </w:r>
      <w:proofErr w:type="spellStart"/>
      <w:r>
        <w:rPr>
          <w:rFonts w:ascii="Tahoma" w:hAnsi="Tahoma" w:cs="Tahoma"/>
          <w:sz w:val="24"/>
          <w:szCs w:val="24"/>
        </w:rPr>
        <w:t>cedularne</w:t>
      </w:r>
      <w:proofErr w:type="spellEnd"/>
      <w:r>
        <w:rPr>
          <w:rFonts w:ascii="Tahoma" w:hAnsi="Tahoma" w:cs="Tahoma"/>
          <w:sz w:val="24"/>
          <w:szCs w:val="24"/>
        </w:rPr>
        <w:t xml:space="preserve"> obdavčitve, kjer</w:t>
      </w:r>
      <w:r w:rsidR="00673B14">
        <w:rPr>
          <w:rFonts w:ascii="Tahoma" w:hAnsi="Tahoma" w:cs="Tahoma"/>
          <w:sz w:val="24"/>
          <w:szCs w:val="24"/>
        </w:rPr>
        <w:t xml:space="preserve"> je predlagana 15-odstotna</w:t>
      </w:r>
      <w:r w:rsidR="00BC5821">
        <w:rPr>
          <w:rFonts w:ascii="Tahoma" w:hAnsi="Tahoma" w:cs="Tahoma"/>
          <w:sz w:val="24"/>
          <w:szCs w:val="24"/>
        </w:rPr>
        <w:t xml:space="preserve"> stopnja davka od</w:t>
      </w:r>
      <w:r w:rsidR="00673B14">
        <w:rPr>
          <w:rFonts w:ascii="Tahoma" w:hAnsi="Tahoma" w:cs="Tahoma"/>
          <w:sz w:val="24"/>
          <w:szCs w:val="24"/>
        </w:rPr>
        <w:t xml:space="preserve"> dohodka iz kapitala za fizične osebe</w:t>
      </w:r>
      <w:r w:rsidR="001216B2">
        <w:rPr>
          <w:rFonts w:ascii="Tahoma" w:hAnsi="Tahoma" w:cs="Tahoma"/>
          <w:sz w:val="24"/>
          <w:szCs w:val="24"/>
        </w:rPr>
        <w:t xml:space="preserve"> nad 10 let, </w:t>
      </w:r>
      <w:r w:rsidR="00BC5821">
        <w:rPr>
          <w:rFonts w:ascii="Tahoma" w:hAnsi="Tahoma" w:cs="Tahoma"/>
          <w:sz w:val="24"/>
          <w:szCs w:val="24"/>
        </w:rPr>
        <w:t>močno destimulativna ne samo za podjetja in investitorje, temveč tudi za male varčevalce</w:t>
      </w:r>
      <w:r w:rsidR="00673B14">
        <w:rPr>
          <w:rFonts w:ascii="Tahoma" w:hAnsi="Tahoma" w:cs="Tahoma"/>
          <w:sz w:val="24"/>
          <w:szCs w:val="24"/>
        </w:rPr>
        <w:t xml:space="preserve">. To bi </w:t>
      </w:r>
      <w:r w:rsidR="001216B2">
        <w:rPr>
          <w:rFonts w:ascii="Tahoma" w:hAnsi="Tahoma" w:cs="Tahoma"/>
          <w:sz w:val="24"/>
          <w:szCs w:val="24"/>
        </w:rPr>
        <w:t xml:space="preserve">dodatno </w:t>
      </w:r>
      <w:r w:rsidR="00673B14">
        <w:rPr>
          <w:rFonts w:ascii="Tahoma" w:hAnsi="Tahoma" w:cs="Tahoma"/>
          <w:sz w:val="24"/>
          <w:szCs w:val="24"/>
        </w:rPr>
        <w:t>zmanjšalo</w:t>
      </w:r>
      <w:r w:rsidR="00BC5821" w:rsidRPr="001E0668">
        <w:rPr>
          <w:rFonts w:ascii="Tahoma" w:hAnsi="Tahoma" w:cs="Tahoma"/>
          <w:sz w:val="24"/>
          <w:szCs w:val="24"/>
        </w:rPr>
        <w:t xml:space="preserve"> domače </w:t>
      </w:r>
      <w:r w:rsidR="00673B14">
        <w:rPr>
          <w:rFonts w:ascii="Tahoma" w:hAnsi="Tahoma" w:cs="Tahoma"/>
          <w:sz w:val="24"/>
          <w:szCs w:val="24"/>
        </w:rPr>
        <w:t xml:space="preserve">dolgoročno </w:t>
      </w:r>
      <w:r w:rsidR="00BC5821" w:rsidRPr="001E0668">
        <w:rPr>
          <w:rFonts w:ascii="Tahoma" w:hAnsi="Tahoma" w:cs="Tahoma"/>
          <w:sz w:val="24"/>
          <w:szCs w:val="24"/>
        </w:rPr>
        <w:t xml:space="preserve">varčevanje na kapitalskem trgu, </w:t>
      </w:r>
      <w:r w:rsidR="00673B14">
        <w:rPr>
          <w:rFonts w:ascii="Tahoma" w:hAnsi="Tahoma" w:cs="Tahoma"/>
          <w:sz w:val="24"/>
          <w:szCs w:val="24"/>
        </w:rPr>
        <w:t xml:space="preserve">ki je že sedaj skromno ter </w:t>
      </w:r>
      <w:r w:rsidR="001216B2">
        <w:rPr>
          <w:rFonts w:ascii="Tahoma" w:hAnsi="Tahoma" w:cs="Tahoma"/>
          <w:sz w:val="24"/>
          <w:szCs w:val="24"/>
        </w:rPr>
        <w:t xml:space="preserve">kjer že sedaj po obsegu teh sredstev v BDP močno </w:t>
      </w:r>
      <w:r w:rsidR="00BC5821" w:rsidRPr="001E0668">
        <w:rPr>
          <w:rFonts w:ascii="Tahoma" w:hAnsi="Tahoma" w:cs="Tahoma"/>
          <w:sz w:val="24"/>
          <w:szCs w:val="24"/>
        </w:rPr>
        <w:t>zaostajamo za razvitimi državami.</w:t>
      </w:r>
    </w:p>
    <w:p w14:paraId="4F854A0D" w14:textId="77777777" w:rsidR="001E0668" w:rsidRPr="001E0668" w:rsidRDefault="00717032" w:rsidP="001216B2">
      <w:pPr>
        <w:pStyle w:val="Golobesedilo"/>
        <w:spacing w:after="240"/>
        <w:jc w:val="both"/>
        <w:rPr>
          <w:rFonts w:ascii="Tahoma" w:hAnsi="Tahoma" w:cs="Tahoma"/>
          <w:b/>
          <w:sz w:val="24"/>
          <w:szCs w:val="24"/>
        </w:rPr>
      </w:pPr>
      <w:r w:rsidRPr="001E0668">
        <w:rPr>
          <w:rFonts w:ascii="Tahoma" w:hAnsi="Tahoma" w:cs="Tahoma"/>
          <w:b/>
          <w:sz w:val="24"/>
          <w:szCs w:val="24"/>
        </w:rPr>
        <w:t>Sonja Šmuc, generalna direktorica GZS: »</w:t>
      </w:r>
      <w:r w:rsidR="007D11E6" w:rsidRPr="001E0668">
        <w:rPr>
          <w:rFonts w:ascii="Tahoma" w:hAnsi="Tahoma" w:cs="Tahoma"/>
          <w:b/>
          <w:sz w:val="24"/>
          <w:szCs w:val="24"/>
        </w:rPr>
        <w:t xml:space="preserve">Predlog ministrstva za finance je v nekaterih delih </w:t>
      </w:r>
      <w:r w:rsidR="00EC4E9E">
        <w:rPr>
          <w:rFonts w:ascii="Tahoma" w:hAnsi="Tahoma" w:cs="Tahoma"/>
          <w:b/>
          <w:sz w:val="24"/>
          <w:szCs w:val="24"/>
        </w:rPr>
        <w:t xml:space="preserve">celo </w:t>
      </w:r>
      <w:r w:rsidR="007D11E6" w:rsidRPr="001E0668">
        <w:rPr>
          <w:rFonts w:ascii="Tahoma" w:hAnsi="Tahoma" w:cs="Tahoma"/>
          <w:b/>
          <w:sz w:val="24"/>
          <w:szCs w:val="24"/>
        </w:rPr>
        <w:t xml:space="preserve">bolj ambiciozen, kot </w:t>
      </w:r>
      <w:r w:rsidR="00BC5821" w:rsidRPr="001E0668">
        <w:rPr>
          <w:rFonts w:ascii="Tahoma" w:hAnsi="Tahoma" w:cs="Tahoma"/>
          <w:b/>
          <w:sz w:val="24"/>
          <w:szCs w:val="24"/>
        </w:rPr>
        <w:t>bi pričakovali, in prinaša</w:t>
      </w:r>
      <w:r w:rsidR="007D11E6" w:rsidRPr="001E0668">
        <w:rPr>
          <w:rFonts w:ascii="Tahoma" w:hAnsi="Tahoma" w:cs="Tahoma"/>
          <w:b/>
          <w:sz w:val="24"/>
          <w:szCs w:val="24"/>
        </w:rPr>
        <w:t xml:space="preserve"> občut</w:t>
      </w:r>
      <w:r w:rsidR="00BC5821" w:rsidRPr="001E0668">
        <w:rPr>
          <w:rFonts w:ascii="Tahoma" w:hAnsi="Tahoma" w:cs="Tahoma"/>
          <w:b/>
          <w:sz w:val="24"/>
          <w:szCs w:val="24"/>
        </w:rPr>
        <w:t>e</w:t>
      </w:r>
      <w:r w:rsidR="007D11E6" w:rsidRPr="001E0668">
        <w:rPr>
          <w:rFonts w:ascii="Tahoma" w:hAnsi="Tahoma" w:cs="Tahoma"/>
          <w:b/>
          <w:sz w:val="24"/>
          <w:szCs w:val="24"/>
        </w:rPr>
        <w:t xml:space="preserve">n dvig neto plač zaposlenih. Pričakujemo pa, da bodo na strani obdavčitve kapitala davčne stopnje </w:t>
      </w:r>
      <w:r w:rsidR="00BC5821" w:rsidRPr="001E0668">
        <w:rPr>
          <w:rFonts w:ascii="Tahoma" w:hAnsi="Tahoma" w:cs="Tahoma"/>
          <w:b/>
          <w:sz w:val="24"/>
          <w:szCs w:val="24"/>
        </w:rPr>
        <w:t xml:space="preserve">bistveno </w:t>
      </w:r>
      <w:r w:rsidR="007D11E6" w:rsidRPr="001E0668">
        <w:rPr>
          <w:rFonts w:ascii="Tahoma" w:hAnsi="Tahoma" w:cs="Tahoma"/>
          <w:b/>
          <w:sz w:val="24"/>
          <w:szCs w:val="24"/>
        </w:rPr>
        <w:t xml:space="preserve">nižje, kot </w:t>
      </w:r>
      <w:r w:rsidR="00BC5821" w:rsidRPr="001E0668">
        <w:rPr>
          <w:rFonts w:ascii="Tahoma" w:hAnsi="Tahoma" w:cs="Tahoma"/>
          <w:b/>
          <w:sz w:val="24"/>
          <w:szCs w:val="24"/>
        </w:rPr>
        <w:t xml:space="preserve">so trenutno predvidene. </w:t>
      </w:r>
      <w:r w:rsidR="001E0668" w:rsidRPr="001E0668">
        <w:rPr>
          <w:rFonts w:ascii="Tahoma" w:hAnsi="Tahoma" w:cs="Tahoma"/>
          <w:b/>
          <w:sz w:val="24"/>
          <w:szCs w:val="24"/>
        </w:rPr>
        <w:t>Gospodarstvo je svoj velik doprinos k bolj zdravim državnim blagajnam že dalo: samo v lanskem letu je bilo zbranih za milijardo več davkov kot leto prej, zato obremenitve kapitala sploh niso potrebne.</w:t>
      </w:r>
      <w:r w:rsidR="001E0668">
        <w:rPr>
          <w:rFonts w:ascii="Tahoma" w:hAnsi="Tahoma" w:cs="Tahoma"/>
          <w:b/>
          <w:sz w:val="24"/>
          <w:szCs w:val="24"/>
        </w:rPr>
        <w:t>«</w:t>
      </w:r>
      <w:r w:rsidR="001E0668" w:rsidRPr="001E0668">
        <w:rPr>
          <w:rFonts w:ascii="Tahoma" w:hAnsi="Tahoma" w:cs="Tahoma"/>
          <w:b/>
          <w:sz w:val="24"/>
          <w:szCs w:val="24"/>
        </w:rPr>
        <w:t xml:space="preserve"> </w:t>
      </w:r>
    </w:p>
    <w:sectPr w:rsidR="001E0668" w:rsidRPr="001E0668" w:rsidSect="00D144D0">
      <w:pgSz w:w="11906" w:h="16838"/>
      <w:pgMar w:top="899" w:right="1106" w:bottom="900" w:left="900" w:header="708" w:footer="708" w:gutter="0"/>
      <w:pgBorders w:offsetFrom="page">
        <w:top w:val="single" w:sz="4" w:space="24" w:color="5091CD"/>
        <w:left w:val="single" w:sz="4" w:space="24" w:color="5091CD"/>
        <w:bottom w:val="single" w:sz="4" w:space="24" w:color="5091CD"/>
        <w:right w:val="single" w:sz="4" w:space="24" w:color="5091C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53934" w14:textId="77777777" w:rsidR="006A6422" w:rsidRDefault="006A6422">
      <w:r>
        <w:separator/>
      </w:r>
    </w:p>
  </w:endnote>
  <w:endnote w:type="continuationSeparator" w:id="0">
    <w:p w14:paraId="6410F8C3" w14:textId="77777777" w:rsidR="006A6422" w:rsidRDefault="006A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D3D29" w14:textId="77777777" w:rsidR="006A6422" w:rsidRDefault="006A6422">
      <w:r>
        <w:separator/>
      </w:r>
    </w:p>
  </w:footnote>
  <w:footnote w:type="continuationSeparator" w:id="0">
    <w:p w14:paraId="460F98E0" w14:textId="77777777" w:rsidR="006A6422" w:rsidRDefault="006A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5682"/>
    <w:multiLevelType w:val="hybridMultilevel"/>
    <w:tmpl w:val="230A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135B8"/>
    <w:multiLevelType w:val="hybridMultilevel"/>
    <w:tmpl w:val="1E060B74"/>
    <w:lvl w:ilvl="0" w:tplc="690A0CAA">
      <w:start w:val="1"/>
      <w:numFmt w:val="bullet"/>
      <w:lvlText w:val=""/>
      <w:lvlJc w:val="left"/>
      <w:pPr>
        <w:tabs>
          <w:tab w:val="num" w:pos="681"/>
        </w:tabs>
        <w:ind w:left="681" w:hanging="39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A41F8"/>
    <w:multiLevelType w:val="hybridMultilevel"/>
    <w:tmpl w:val="F52C57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E2D90"/>
    <w:multiLevelType w:val="hybridMultilevel"/>
    <w:tmpl w:val="5E2C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528D4"/>
    <w:multiLevelType w:val="hybridMultilevel"/>
    <w:tmpl w:val="11F407E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3763D4"/>
    <w:multiLevelType w:val="hybridMultilevel"/>
    <w:tmpl w:val="98D6B480"/>
    <w:lvl w:ilvl="0" w:tplc="37668E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516E4"/>
    <w:multiLevelType w:val="hybridMultilevel"/>
    <w:tmpl w:val="663A194E"/>
    <w:lvl w:ilvl="0" w:tplc="E8D255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00288"/>
    <w:multiLevelType w:val="hybridMultilevel"/>
    <w:tmpl w:val="9122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92E48"/>
    <w:multiLevelType w:val="hybridMultilevel"/>
    <w:tmpl w:val="93D62696"/>
    <w:lvl w:ilvl="0" w:tplc="12082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EF10FC"/>
    <w:multiLevelType w:val="hybridMultilevel"/>
    <w:tmpl w:val="9C341F00"/>
    <w:lvl w:ilvl="0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55DD4B44"/>
    <w:multiLevelType w:val="hybridMultilevel"/>
    <w:tmpl w:val="5F7216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338E0"/>
    <w:multiLevelType w:val="hybridMultilevel"/>
    <w:tmpl w:val="1CA41F60"/>
    <w:lvl w:ilvl="0" w:tplc="4E86EEE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D14E3"/>
    <w:multiLevelType w:val="hybridMultilevel"/>
    <w:tmpl w:val="F18292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935D2"/>
    <w:multiLevelType w:val="hybridMultilevel"/>
    <w:tmpl w:val="A6188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C6488"/>
    <w:multiLevelType w:val="hybridMultilevel"/>
    <w:tmpl w:val="C60E7D74"/>
    <w:lvl w:ilvl="0" w:tplc="120ED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402081"/>
    <w:multiLevelType w:val="hybridMultilevel"/>
    <w:tmpl w:val="5A54ADF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3C6F75"/>
    <w:multiLevelType w:val="hybridMultilevel"/>
    <w:tmpl w:val="878C7C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EF36E3"/>
    <w:multiLevelType w:val="hybridMultilevel"/>
    <w:tmpl w:val="FDE6F2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17"/>
  </w:num>
  <w:num w:numId="11">
    <w:abstractNumId w:val="16"/>
  </w:num>
  <w:num w:numId="12">
    <w:abstractNumId w:val="7"/>
  </w:num>
  <w:num w:numId="13">
    <w:abstractNumId w:val="0"/>
  </w:num>
  <w:num w:numId="14">
    <w:abstractNumId w:val="13"/>
  </w:num>
  <w:num w:numId="15">
    <w:abstractNumId w:val="3"/>
  </w:num>
  <w:num w:numId="16">
    <w:abstractNumId w:val="12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C0"/>
    <w:rsid w:val="0000102C"/>
    <w:rsid w:val="0000113B"/>
    <w:rsid w:val="00002EB9"/>
    <w:rsid w:val="00004F8E"/>
    <w:rsid w:val="00011323"/>
    <w:rsid w:val="0001763F"/>
    <w:rsid w:val="000179F0"/>
    <w:rsid w:val="000320EB"/>
    <w:rsid w:val="0004298A"/>
    <w:rsid w:val="00042C4F"/>
    <w:rsid w:val="00053949"/>
    <w:rsid w:val="0007798F"/>
    <w:rsid w:val="00090E21"/>
    <w:rsid w:val="000A4BDA"/>
    <w:rsid w:val="000B1DCB"/>
    <w:rsid w:val="000D23E4"/>
    <w:rsid w:val="000D4F9C"/>
    <w:rsid w:val="000D5CEB"/>
    <w:rsid w:val="000E3519"/>
    <w:rsid w:val="000F0679"/>
    <w:rsid w:val="000F31FE"/>
    <w:rsid w:val="000F553C"/>
    <w:rsid w:val="00111362"/>
    <w:rsid w:val="00115B20"/>
    <w:rsid w:val="001216B2"/>
    <w:rsid w:val="00122345"/>
    <w:rsid w:val="00126461"/>
    <w:rsid w:val="0016015E"/>
    <w:rsid w:val="00167D1A"/>
    <w:rsid w:val="00174560"/>
    <w:rsid w:val="00175F68"/>
    <w:rsid w:val="001765E9"/>
    <w:rsid w:val="001876AD"/>
    <w:rsid w:val="00196405"/>
    <w:rsid w:val="00197A04"/>
    <w:rsid w:val="001D2F1A"/>
    <w:rsid w:val="001E0668"/>
    <w:rsid w:val="001E2243"/>
    <w:rsid w:val="001E3D6B"/>
    <w:rsid w:val="001F48A9"/>
    <w:rsid w:val="00207270"/>
    <w:rsid w:val="00214157"/>
    <w:rsid w:val="002167E9"/>
    <w:rsid w:val="002170C5"/>
    <w:rsid w:val="00232F88"/>
    <w:rsid w:val="002354DE"/>
    <w:rsid w:val="00254FE2"/>
    <w:rsid w:val="002550DD"/>
    <w:rsid w:val="00256863"/>
    <w:rsid w:val="00266F1B"/>
    <w:rsid w:val="00284927"/>
    <w:rsid w:val="00292B7F"/>
    <w:rsid w:val="002B5D9B"/>
    <w:rsid w:val="002C1EED"/>
    <w:rsid w:val="002C398C"/>
    <w:rsid w:val="002D45D9"/>
    <w:rsid w:val="002D6454"/>
    <w:rsid w:val="003055E3"/>
    <w:rsid w:val="00311763"/>
    <w:rsid w:val="00321B35"/>
    <w:rsid w:val="00322BA4"/>
    <w:rsid w:val="00332BBD"/>
    <w:rsid w:val="003504C8"/>
    <w:rsid w:val="00351863"/>
    <w:rsid w:val="00380BD6"/>
    <w:rsid w:val="00383754"/>
    <w:rsid w:val="00392BAB"/>
    <w:rsid w:val="003C6B8E"/>
    <w:rsid w:val="003D127A"/>
    <w:rsid w:val="003D1735"/>
    <w:rsid w:val="003E000B"/>
    <w:rsid w:val="003E2610"/>
    <w:rsid w:val="003E7107"/>
    <w:rsid w:val="003E7125"/>
    <w:rsid w:val="003F291A"/>
    <w:rsid w:val="00400289"/>
    <w:rsid w:val="00400EC1"/>
    <w:rsid w:val="004010B6"/>
    <w:rsid w:val="0040187B"/>
    <w:rsid w:val="00412C83"/>
    <w:rsid w:val="004157C3"/>
    <w:rsid w:val="00423CCB"/>
    <w:rsid w:val="00426FD6"/>
    <w:rsid w:val="00431F63"/>
    <w:rsid w:val="0043659B"/>
    <w:rsid w:val="004370F3"/>
    <w:rsid w:val="00441580"/>
    <w:rsid w:val="00453BCC"/>
    <w:rsid w:val="00455151"/>
    <w:rsid w:val="00475864"/>
    <w:rsid w:val="00495790"/>
    <w:rsid w:val="004962C2"/>
    <w:rsid w:val="00496433"/>
    <w:rsid w:val="004A59DF"/>
    <w:rsid w:val="004B49A2"/>
    <w:rsid w:val="004D3FC0"/>
    <w:rsid w:val="004F5AE6"/>
    <w:rsid w:val="00500488"/>
    <w:rsid w:val="00502CF0"/>
    <w:rsid w:val="00505E5E"/>
    <w:rsid w:val="005148E0"/>
    <w:rsid w:val="00545269"/>
    <w:rsid w:val="00565B53"/>
    <w:rsid w:val="00575625"/>
    <w:rsid w:val="00577C82"/>
    <w:rsid w:val="00583048"/>
    <w:rsid w:val="00585D84"/>
    <w:rsid w:val="00595130"/>
    <w:rsid w:val="005A263C"/>
    <w:rsid w:val="005A56CE"/>
    <w:rsid w:val="005B2206"/>
    <w:rsid w:val="005B4D94"/>
    <w:rsid w:val="005B5E34"/>
    <w:rsid w:val="005D0757"/>
    <w:rsid w:val="005D4D5F"/>
    <w:rsid w:val="005F245A"/>
    <w:rsid w:val="00606AFA"/>
    <w:rsid w:val="00634D0A"/>
    <w:rsid w:val="00657320"/>
    <w:rsid w:val="00660B17"/>
    <w:rsid w:val="006621FE"/>
    <w:rsid w:val="0066281D"/>
    <w:rsid w:val="00667FA3"/>
    <w:rsid w:val="00673B14"/>
    <w:rsid w:val="00682076"/>
    <w:rsid w:val="006826CF"/>
    <w:rsid w:val="006833A3"/>
    <w:rsid w:val="006A6422"/>
    <w:rsid w:val="006C3F14"/>
    <w:rsid w:val="006C400D"/>
    <w:rsid w:val="006C6B19"/>
    <w:rsid w:val="006D5441"/>
    <w:rsid w:val="006E496E"/>
    <w:rsid w:val="006E62B3"/>
    <w:rsid w:val="006F0EB0"/>
    <w:rsid w:val="006F1F66"/>
    <w:rsid w:val="00706D9A"/>
    <w:rsid w:val="00707017"/>
    <w:rsid w:val="00717032"/>
    <w:rsid w:val="00741971"/>
    <w:rsid w:val="00742437"/>
    <w:rsid w:val="007535F0"/>
    <w:rsid w:val="00757F91"/>
    <w:rsid w:val="00765A17"/>
    <w:rsid w:val="00771728"/>
    <w:rsid w:val="00784328"/>
    <w:rsid w:val="00791F3B"/>
    <w:rsid w:val="00795F74"/>
    <w:rsid w:val="007A1E50"/>
    <w:rsid w:val="007C3BB4"/>
    <w:rsid w:val="007C7133"/>
    <w:rsid w:val="007D05CC"/>
    <w:rsid w:val="007D11E6"/>
    <w:rsid w:val="007E18B0"/>
    <w:rsid w:val="007F6804"/>
    <w:rsid w:val="007F6D17"/>
    <w:rsid w:val="00801BC7"/>
    <w:rsid w:val="0082195B"/>
    <w:rsid w:val="008231B0"/>
    <w:rsid w:val="00826CB1"/>
    <w:rsid w:val="008420C7"/>
    <w:rsid w:val="00844455"/>
    <w:rsid w:val="00847582"/>
    <w:rsid w:val="008567A0"/>
    <w:rsid w:val="00863DBA"/>
    <w:rsid w:val="008645E4"/>
    <w:rsid w:val="00866B16"/>
    <w:rsid w:val="008728ED"/>
    <w:rsid w:val="00885FCD"/>
    <w:rsid w:val="00887B94"/>
    <w:rsid w:val="008A0DFE"/>
    <w:rsid w:val="008A5142"/>
    <w:rsid w:val="008A6435"/>
    <w:rsid w:val="008C6EFF"/>
    <w:rsid w:val="008D3679"/>
    <w:rsid w:val="008D57F9"/>
    <w:rsid w:val="008D7782"/>
    <w:rsid w:val="008E7ABF"/>
    <w:rsid w:val="008F0A65"/>
    <w:rsid w:val="00901B97"/>
    <w:rsid w:val="00903A3C"/>
    <w:rsid w:val="00903FA0"/>
    <w:rsid w:val="00910F1B"/>
    <w:rsid w:val="00911099"/>
    <w:rsid w:val="00934870"/>
    <w:rsid w:val="00935857"/>
    <w:rsid w:val="009467D0"/>
    <w:rsid w:val="00946B5A"/>
    <w:rsid w:val="00953B95"/>
    <w:rsid w:val="0096201D"/>
    <w:rsid w:val="00965271"/>
    <w:rsid w:val="00967A32"/>
    <w:rsid w:val="009766E7"/>
    <w:rsid w:val="00980256"/>
    <w:rsid w:val="009815E0"/>
    <w:rsid w:val="009848E6"/>
    <w:rsid w:val="0099274A"/>
    <w:rsid w:val="009A52FE"/>
    <w:rsid w:val="009B0A2A"/>
    <w:rsid w:val="009B7964"/>
    <w:rsid w:val="009C3C1E"/>
    <w:rsid w:val="009D0F6A"/>
    <w:rsid w:val="009D3848"/>
    <w:rsid w:val="009E550D"/>
    <w:rsid w:val="009F7BBC"/>
    <w:rsid w:val="00A00408"/>
    <w:rsid w:val="00A11A4C"/>
    <w:rsid w:val="00A120BA"/>
    <w:rsid w:val="00A16722"/>
    <w:rsid w:val="00A43ACA"/>
    <w:rsid w:val="00A4500B"/>
    <w:rsid w:val="00A607C2"/>
    <w:rsid w:val="00A649B9"/>
    <w:rsid w:val="00A64E41"/>
    <w:rsid w:val="00A66EA7"/>
    <w:rsid w:val="00A71216"/>
    <w:rsid w:val="00A71BCF"/>
    <w:rsid w:val="00A72AEA"/>
    <w:rsid w:val="00A745E3"/>
    <w:rsid w:val="00A77B1D"/>
    <w:rsid w:val="00A77DD4"/>
    <w:rsid w:val="00A86F98"/>
    <w:rsid w:val="00A905EC"/>
    <w:rsid w:val="00A94D89"/>
    <w:rsid w:val="00AE1E46"/>
    <w:rsid w:val="00AE5E10"/>
    <w:rsid w:val="00AF19A2"/>
    <w:rsid w:val="00AF399A"/>
    <w:rsid w:val="00AF66A0"/>
    <w:rsid w:val="00AF764E"/>
    <w:rsid w:val="00B01757"/>
    <w:rsid w:val="00B0257C"/>
    <w:rsid w:val="00B10CBE"/>
    <w:rsid w:val="00B224E0"/>
    <w:rsid w:val="00B251DA"/>
    <w:rsid w:val="00B35830"/>
    <w:rsid w:val="00B46431"/>
    <w:rsid w:val="00B50A29"/>
    <w:rsid w:val="00B5170D"/>
    <w:rsid w:val="00B530C8"/>
    <w:rsid w:val="00B61CDD"/>
    <w:rsid w:val="00B63C2E"/>
    <w:rsid w:val="00B76D85"/>
    <w:rsid w:val="00B857F1"/>
    <w:rsid w:val="00B926A8"/>
    <w:rsid w:val="00B940CA"/>
    <w:rsid w:val="00B961AD"/>
    <w:rsid w:val="00BA36BD"/>
    <w:rsid w:val="00BA59E0"/>
    <w:rsid w:val="00BA703D"/>
    <w:rsid w:val="00BB06DE"/>
    <w:rsid w:val="00BB1FA9"/>
    <w:rsid w:val="00BC5821"/>
    <w:rsid w:val="00BE5AA3"/>
    <w:rsid w:val="00C04227"/>
    <w:rsid w:val="00C05997"/>
    <w:rsid w:val="00C15A5A"/>
    <w:rsid w:val="00C1794D"/>
    <w:rsid w:val="00C21898"/>
    <w:rsid w:val="00C51E45"/>
    <w:rsid w:val="00C73417"/>
    <w:rsid w:val="00C774BB"/>
    <w:rsid w:val="00C812AD"/>
    <w:rsid w:val="00C820A8"/>
    <w:rsid w:val="00C82A30"/>
    <w:rsid w:val="00C863C6"/>
    <w:rsid w:val="00C93BBC"/>
    <w:rsid w:val="00CA59B3"/>
    <w:rsid w:val="00CA7BC0"/>
    <w:rsid w:val="00CB50DF"/>
    <w:rsid w:val="00CC379F"/>
    <w:rsid w:val="00CD1598"/>
    <w:rsid w:val="00CE1DDA"/>
    <w:rsid w:val="00CE6A07"/>
    <w:rsid w:val="00D07A3F"/>
    <w:rsid w:val="00D144D0"/>
    <w:rsid w:val="00D1657C"/>
    <w:rsid w:val="00D22638"/>
    <w:rsid w:val="00D32B8E"/>
    <w:rsid w:val="00D411AC"/>
    <w:rsid w:val="00D46E7E"/>
    <w:rsid w:val="00D50DC9"/>
    <w:rsid w:val="00D51A29"/>
    <w:rsid w:val="00D62546"/>
    <w:rsid w:val="00D804A0"/>
    <w:rsid w:val="00D865E7"/>
    <w:rsid w:val="00D90A83"/>
    <w:rsid w:val="00D92A0B"/>
    <w:rsid w:val="00DA3BE2"/>
    <w:rsid w:val="00DC5B39"/>
    <w:rsid w:val="00DD53B0"/>
    <w:rsid w:val="00DE3973"/>
    <w:rsid w:val="00DE5048"/>
    <w:rsid w:val="00DE6D97"/>
    <w:rsid w:val="00DF061A"/>
    <w:rsid w:val="00DF232F"/>
    <w:rsid w:val="00DF2FD7"/>
    <w:rsid w:val="00DF5429"/>
    <w:rsid w:val="00E0370C"/>
    <w:rsid w:val="00E06FD9"/>
    <w:rsid w:val="00E12047"/>
    <w:rsid w:val="00E138FF"/>
    <w:rsid w:val="00E14188"/>
    <w:rsid w:val="00E266E5"/>
    <w:rsid w:val="00E31654"/>
    <w:rsid w:val="00E441BD"/>
    <w:rsid w:val="00E522AE"/>
    <w:rsid w:val="00E63509"/>
    <w:rsid w:val="00E96D3C"/>
    <w:rsid w:val="00EB5A05"/>
    <w:rsid w:val="00EC3E6B"/>
    <w:rsid w:val="00EC4E9E"/>
    <w:rsid w:val="00EC6D07"/>
    <w:rsid w:val="00ED22DF"/>
    <w:rsid w:val="00ED743B"/>
    <w:rsid w:val="00EF2CB7"/>
    <w:rsid w:val="00EF61BC"/>
    <w:rsid w:val="00EF747B"/>
    <w:rsid w:val="00F42398"/>
    <w:rsid w:val="00F50EB3"/>
    <w:rsid w:val="00F52A81"/>
    <w:rsid w:val="00F6062E"/>
    <w:rsid w:val="00F61A6E"/>
    <w:rsid w:val="00F66334"/>
    <w:rsid w:val="00F673B1"/>
    <w:rsid w:val="00F77A8E"/>
    <w:rsid w:val="00F8659B"/>
    <w:rsid w:val="00F87F18"/>
    <w:rsid w:val="00FB0447"/>
    <w:rsid w:val="00FB0C28"/>
    <w:rsid w:val="00FB6298"/>
    <w:rsid w:val="00FC0328"/>
    <w:rsid w:val="00FC0670"/>
    <w:rsid w:val="00FC3A57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,#ddd,#3291cd"/>
    </o:shapedefaults>
    <o:shapelayout v:ext="edit">
      <o:idmap v:ext="edit" data="1"/>
    </o:shapelayout>
  </w:shapeDefaults>
  <w:decimalSymbol w:val=","/>
  <w:listSeparator w:val=";"/>
  <w14:docId w14:val="6BA84A94"/>
  <w15:chartTrackingRefBased/>
  <w15:docId w15:val="{8AA75E62-1C9C-46D0-A091-1E0DC530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D0757"/>
    <w:pPr>
      <w:spacing w:after="90"/>
    </w:pPr>
    <w:rPr>
      <w:rFonts w:ascii="Tahoma" w:hAnsi="Tahoma"/>
      <w:sz w:val="24"/>
      <w:szCs w:val="24"/>
    </w:rPr>
  </w:style>
  <w:style w:type="paragraph" w:styleId="Naslov1">
    <w:name w:val="heading 1"/>
    <w:basedOn w:val="Navaden"/>
    <w:next w:val="Navaden"/>
    <w:qFormat/>
    <w:rsid w:val="005D0757"/>
    <w:pPr>
      <w:spacing w:before="360" w:after="270"/>
      <w:outlineLvl w:val="0"/>
    </w:pPr>
    <w:rPr>
      <w:rFonts w:cs="Tahoma"/>
      <w:b/>
      <w:color w:val="99CC00"/>
      <w:sz w:val="28"/>
      <w:szCs w:val="28"/>
    </w:rPr>
  </w:style>
  <w:style w:type="paragraph" w:styleId="Naslov3">
    <w:name w:val="heading 3"/>
    <w:basedOn w:val="Navaden"/>
    <w:next w:val="Navaden"/>
    <w:qFormat/>
    <w:rsid w:val="008A64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774BB"/>
    <w:pPr>
      <w:tabs>
        <w:tab w:val="center" w:pos="4153"/>
        <w:tab w:val="right" w:pos="8306"/>
      </w:tabs>
    </w:pPr>
  </w:style>
  <w:style w:type="paragraph" w:styleId="Noga">
    <w:name w:val="footer"/>
    <w:basedOn w:val="Navaden"/>
    <w:rsid w:val="00C774BB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C774BB"/>
  </w:style>
  <w:style w:type="paragraph" w:styleId="Navadensplet">
    <w:name w:val="Normal (Web)"/>
    <w:basedOn w:val="Navaden"/>
    <w:rsid w:val="00C774BB"/>
    <w:pPr>
      <w:spacing w:after="258" w:line="258" w:lineRule="atLeast"/>
      <w:jc w:val="both"/>
    </w:pPr>
    <w:rPr>
      <w:sz w:val="20"/>
      <w:szCs w:val="20"/>
    </w:rPr>
  </w:style>
  <w:style w:type="table" w:styleId="Tabelamrea">
    <w:name w:val="Table Grid"/>
    <w:basedOn w:val="Navadnatabela"/>
    <w:rsid w:val="00D90A83"/>
    <w:pPr>
      <w:spacing w:after="9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avaden"/>
    <w:rsid w:val="006F1F66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/>
      <w:color w:val="000000"/>
      <w:lang w:val="en-GB"/>
    </w:rPr>
  </w:style>
  <w:style w:type="character" w:customStyle="1" w:styleId="TAJDAPELICON">
    <w:name w:val="TAJDA PELICON"/>
    <w:semiHidden/>
    <w:rsid w:val="00A649B9"/>
    <w:rPr>
      <w:rFonts w:ascii="Arial" w:hAnsi="Arial" w:cs="Arial"/>
      <w:color w:val="000080"/>
      <w:sz w:val="20"/>
      <w:szCs w:val="20"/>
    </w:rPr>
  </w:style>
  <w:style w:type="character" w:styleId="Hiperpovezava">
    <w:name w:val="Hyperlink"/>
    <w:rsid w:val="00B926A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rsid w:val="009B0A2A"/>
    <w:pPr>
      <w:spacing w:after="0"/>
    </w:pPr>
    <w:rPr>
      <w:rFonts w:ascii="Courier New" w:hAnsi="Courier New" w:cs="Courier New"/>
      <w:sz w:val="20"/>
      <w:szCs w:val="20"/>
      <w:lang w:eastAsia="en-US"/>
    </w:rPr>
  </w:style>
  <w:style w:type="paragraph" w:styleId="Besedilooblaka">
    <w:name w:val="Balloon Text"/>
    <w:basedOn w:val="Navaden"/>
    <w:semiHidden/>
    <w:rsid w:val="00D92A0B"/>
    <w:rPr>
      <w:rFonts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46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Navadnatabela4">
    <w:name w:val="Plain Table 4"/>
    <w:basedOn w:val="Navadnatabela"/>
    <w:uiPriority w:val="44"/>
    <w:rsid w:val="001E3D6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olobesediloZnak">
    <w:name w:val="Golo besedilo Znak"/>
    <w:basedOn w:val="Privzetapisavaodstavka"/>
    <w:link w:val="Golobesedilo"/>
    <w:uiPriority w:val="99"/>
    <w:rsid w:val="00321B35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928">
              <w:marLeft w:val="0"/>
              <w:marRight w:val="0"/>
              <w:marTop w:val="111"/>
              <w:marBottom w:val="0"/>
              <w:divBdr>
                <w:top w:val="single" w:sz="6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52AF06-19F8-4723-8BEB-54FAA69B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Gospodarska Zbornica Slovenije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Sonja Smuc</cp:lastModifiedBy>
  <cp:revision>2</cp:revision>
  <cp:lastPrinted>2019-02-26T15:55:00Z</cp:lastPrinted>
  <dcterms:created xsi:type="dcterms:W3CDTF">2019-02-26T16:07:00Z</dcterms:created>
  <dcterms:modified xsi:type="dcterms:W3CDTF">2019-02-26T16:07:00Z</dcterms:modified>
</cp:coreProperties>
</file>