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E8" w:rsidRPr="00A279E8" w:rsidRDefault="00A279E8" w:rsidP="00A279E8">
      <w:pPr>
        <w:pStyle w:val="Naslov1"/>
        <w:shd w:val="clear" w:color="auto" w:fill="FFFFFF"/>
        <w:spacing w:before="0" w:after="0"/>
        <w:textAlignment w:val="baseline"/>
        <w:rPr>
          <w:rFonts w:ascii="Tahoma" w:hAnsi="Tahoma" w:cs="Tahoma"/>
          <w:color w:val="323232"/>
          <w:sz w:val="22"/>
          <w:szCs w:val="22"/>
          <w:lang w:eastAsia="sl-SI"/>
        </w:rPr>
      </w:pPr>
      <w:r w:rsidRPr="00A279E8">
        <w:rPr>
          <w:rFonts w:ascii="Tahoma" w:hAnsi="Tahoma" w:cs="Tahoma"/>
          <w:color w:val="323232"/>
          <w:sz w:val="22"/>
          <w:szCs w:val="22"/>
        </w:rPr>
        <w:t>Pravila za nagrado Gospodarske zbornice Slovenije za izjemne gospodarske in podjetniške dosežke</w:t>
      </w:r>
    </w:p>
    <w:p w:rsidR="00A279E8" w:rsidRPr="00A279E8" w:rsidRDefault="00A279E8" w:rsidP="00A279E8">
      <w:pPr>
        <w:rPr>
          <w:rFonts w:ascii="Tahoma" w:hAnsi="Tahoma" w:cs="Tahoma"/>
          <w:sz w:val="22"/>
          <w:szCs w:val="22"/>
        </w:rPr>
      </w:pPr>
      <w:r w:rsidRPr="00A279E8">
        <w:rPr>
          <w:rFonts w:ascii="Tahoma" w:hAnsi="Tahoma" w:cs="Tahoma"/>
          <w:color w:val="333333"/>
          <w:sz w:val="22"/>
          <w:szCs w:val="22"/>
        </w:rPr>
        <w:br/>
      </w:r>
    </w:p>
    <w:p w:rsidR="00A279E8" w:rsidRPr="00A279E8" w:rsidRDefault="00A279E8" w:rsidP="00A279E8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1.</w:t>
      </w:r>
    </w:p>
    <w:p w:rsidR="00A279E8" w:rsidRDefault="00A279E8" w:rsidP="00A279E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  <w:bdr w:val="none" w:sz="0" w:space="0" w:color="auto" w:frame="1"/>
        </w:rPr>
      </w:pP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t>Gospodarska zbornica Slovenije podeljuje vsako leto Nagrado za izjemne gospodarske in podjetniške dosežke.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br/>
        <w:t>Nagrada se podeli, če so ti dosežki vplivali na trajne rezultate poslovanja in splošen ugled gospodarske družbe v širšem družbenem okolju.</w:t>
      </w:r>
    </w:p>
    <w:p w:rsidR="00A279E8" w:rsidRPr="00A279E8" w:rsidRDefault="00A279E8" w:rsidP="00A279E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2.</w:t>
      </w: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PREJEMNIK NAGRADE</w:t>
      </w:r>
    </w:p>
    <w:p w:rsid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both"/>
        <w:textAlignment w:val="baseline"/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Nagrada je namenjena direktorjem, izvršnim direktorjem in predsednikom uprav oz. osebam, ki operativno vodijo družbo (v nadaljevanju: kandidatom) kot visoko priznanje za izjemno poslovodno, tehnično, marketinško ter organizacijsko delo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t>in trajni razvoj družbe, ki jo vodijo</w:t>
      </w: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.</w:t>
      </w:r>
    </w:p>
    <w:p w:rsid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bdr w:val="none" w:sz="0" w:space="0" w:color="auto" w:frame="1"/>
        </w:rPr>
      </w:pP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br/>
        <w:t>Nagrajenci prejmejo diplomo in umetniško skulpturo. Njihovo ime in ime gospodarske družbe se zapiše na »steno slavnih« v Domu gospodarstva – stavbi GZS.</w:t>
      </w: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3.</w:t>
      </w: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KATEGORIJE NAGRAD</w:t>
      </w: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Nagrada se podeli vsako leto v začetku leta za preteklo leto. V posameznem letu se podelijo največ do:</w:t>
      </w:r>
    </w:p>
    <w:p w:rsidR="00A279E8" w:rsidRPr="00A279E8" w:rsidRDefault="00A279E8" w:rsidP="00A279E8">
      <w:pPr>
        <w:widowControl/>
        <w:numPr>
          <w:ilvl w:val="0"/>
          <w:numId w:val="32"/>
        </w:numPr>
        <w:shd w:val="clear" w:color="auto" w:fill="FFFFFF"/>
        <w:ind w:left="270"/>
        <w:jc w:val="lef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279E8">
        <w:rPr>
          <w:rStyle w:val="v10z1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3 nagrade za velike gospodarske družbe,</w:t>
      </w:r>
    </w:p>
    <w:p w:rsidR="00A279E8" w:rsidRPr="00A279E8" w:rsidRDefault="00A279E8" w:rsidP="00A279E8">
      <w:pPr>
        <w:widowControl/>
        <w:numPr>
          <w:ilvl w:val="0"/>
          <w:numId w:val="32"/>
        </w:numPr>
        <w:shd w:val="clear" w:color="auto" w:fill="FFFFFF"/>
        <w:ind w:left="270"/>
        <w:jc w:val="lef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279E8">
        <w:rPr>
          <w:rStyle w:val="v10z1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3 nagrade za srednje gospodarske družbe,</w:t>
      </w:r>
    </w:p>
    <w:p w:rsidR="00A279E8" w:rsidRPr="00A279E8" w:rsidRDefault="00A279E8" w:rsidP="00A279E8">
      <w:pPr>
        <w:widowControl/>
        <w:numPr>
          <w:ilvl w:val="0"/>
          <w:numId w:val="32"/>
        </w:numPr>
        <w:shd w:val="clear" w:color="auto" w:fill="FFFFFF"/>
        <w:ind w:left="270"/>
        <w:jc w:val="lef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279E8">
        <w:rPr>
          <w:rStyle w:val="v10z1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3 nagrade za male in mikro gospodarske družbe</w:t>
      </w:r>
    </w:p>
    <w:p w:rsidR="00A279E8" w:rsidRPr="00A279E8" w:rsidRDefault="00A279E8" w:rsidP="00A279E8">
      <w:pPr>
        <w:widowControl/>
        <w:numPr>
          <w:ilvl w:val="0"/>
          <w:numId w:val="32"/>
        </w:numPr>
        <w:shd w:val="clear" w:color="auto" w:fill="FFFFFF"/>
        <w:ind w:left="270"/>
        <w:jc w:val="lef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279E8">
        <w:rPr>
          <w:rStyle w:val="v10z1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1 nagrada - priznanje za posebne dosežke s.p.</w:t>
      </w:r>
    </w:p>
    <w:p w:rsid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both"/>
        <w:textAlignment w:val="baseline"/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Za razvrščanje družb se uporabljajo določila 55. člena Zakona o gospodarskih družbah (Ur.l. RS št. 65/2009).</w:t>
      </w: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4.</w:t>
      </w: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KOMISIJA ZA NAGRADO GZS</w:t>
      </w:r>
    </w:p>
    <w:p w:rsid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both"/>
        <w:textAlignment w:val="baseline"/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Dosežke kandidatov ocenjuje in o podelitvi nagrade odloča Komisija za nagrado za izjemne gospodarske in podjetniške dosežke, ki jo imenuje Upravni odbor Gospodarske zbornice Slovenije (v nadaljevanju Komisija).</w:t>
      </w:r>
    </w:p>
    <w:p w:rsid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both"/>
        <w:textAlignment w:val="baseline"/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Komisija je pri svojem delu neodvisna.</w:t>
      </w:r>
    </w:p>
    <w:p w:rsid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bdr w:val="none" w:sz="0" w:space="0" w:color="auto" w:frame="1"/>
        </w:rPr>
      </w:pP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t>Komisija deluje v skladu s sprejetim poslovnikom o delu komisije. O svojem delu poroča Upravnemu odboru GZS.</w:t>
      </w: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5.</w:t>
      </w: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RAZPIS NAGRADE</w:t>
      </w:r>
    </w:p>
    <w:p w:rsidR="00A279E8" w:rsidRDefault="00A279E8" w:rsidP="00A279E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Komisija z razpisom v Glasu gospodarstva, na spletni strani GZS in v drugih občilih povabi k podajanju predlogov. V razpisu navede namen nagrade, pogoje in merila za nagrado in opredeli, kdo lahko poda predlog, kakšno dokumentacijo je treba predložiti in rok do katerega sprejema dokumentirane predloge.</w:t>
      </w:r>
    </w:p>
    <w:p w:rsidR="00A279E8" w:rsidRPr="00A279E8" w:rsidRDefault="00A279E8" w:rsidP="00A279E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6.</w:t>
      </w: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PREDLAGATELJ</w:t>
      </w:r>
    </w:p>
    <w:p w:rsidR="00A279E8" w:rsidRDefault="00A279E8" w:rsidP="00A279E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  <w:bdr w:val="none" w:sz="0" w:space="0" w:color="auto" w:frame="1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lastRenderedPageBreak/>
        <w:t>Predlog za podelitev nagrade lahko podajo upravni odbori združenj oziroma zbornic dejavnosti in območnih zbornic v okviru GZS, gospodarske družbe in njihove oblike povezovanja, kot tudi poslovni partnerji in institucije z referencami za presojanje odličnosti gospodarskih subjektov.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br/>
        <w:t>Predlog lahko poda tudi sama komisija.</w:t>
      </w:r>
    </w:p>
    <w:p w:rsidR="00A279E8" w:rsidRPr="00A279E8" w:rsidRDefault="00A279E8" w:rsidP="00A279E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7.</w:t>
      </w: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POGOJI ZA KANDIDATURO ( / PRIJAVO)</w:t>
      </w:r>
    </w:p>
    <w:p w:rsidR="00A279E8" w:rsidRPr="00A279E8" w:rsidRDefault="00A279E8" w:rsidP="00A279E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t>Pogoji za obravnavo predlogov za podelitev nagrade so:</w:t>
      </w:r>
    </w:p>
    <w:p w:rsidR="00A279E8" w:rsidRPr="00A279E8" w:rsidRDefault="00A279E8" w:rsidP="00A279E8">
      <w:pPr>
        <w:widowControl/>
        <w:numPr>
          <w:ilvl w:val="0"/>
          <w:numId w:val="33"/>
        </w:numPr>
        <w:shd w:val="clear" w:color="auto" w:fill="FFFFFF"/>
        <w:ind w:left="270"/>
        <w:jc w:val="lef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279E8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Kandidat vodi družbo/poslovni sistem najmanj 5 let;</w:t>
      </w:r>
    </w:p>
    <w:p w:rsidR="00A279E8" w:rsidRPr="00A279E8" w:rsidRDefault="00A279E8" w:rsidP="00A279E8">
      <w:pPr>
        <w:widowControl/>
        <w:numPr>
          <w:ilvl w:val="0"/>
          <w:numId w:val="33"/>
        </w:numPr>
        <w:shd w:val="clear" w:color="auto" w:fill="FFFFFF"/>
        <w:ind w:left="270"/>
        <w:jc w:val="lef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279E8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Kandidat ima ob prijavi funkcijo iz 2. člena teh Pravil, izjemoma upošteva Komisija prijavo kandidatov, ki so bili na mestu direktorja najmanj do 30. junija tekočega leta razpisa nagrad;</w:t>
      </w:r>
    </w:p>
    <w:p w:rsidR="00A279E8" w:rsidRPr="00A279E8" w:rsidRDefault="00A279E8" w:rsidP="00A279E8">
      <w:pPr>
        <w:widowControl/>
        <w:numPr>
          <w:ilvl w:val="0"/>
          <w:numId w:val="33"/>
        </w:numPr>
        <w:shd w:val="clear" w:color="auto" w:fill="FFFFFF"/>
        <w:ind w:left="270"/>
        <w:jc w:val="lef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279E8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Kandidat mora h kandidaturi predložiti tudi izjavo o soglasju nadzornega sveta oz. upravnega odbora oz. lastnika/ov;</w:t>
      </w:r>
    </w:p>
    <w:p w:rsidR="00A279E8" w:rsidRPr="00A279E8" w:rsidRDefault="00A279E8" w:rsidP="00A279E8">
      <w:pPr>
        <w:widowControl/>
        <w:numPr>
          <w:ilvl w:val="0"/>
          <w:numId w:val="33"/>
        </w:numPr>
        <w:shd w:val="clear" w:color="auto" w:fill="FFFFFF"/>
        <w:ind w:left="270"/>
        <w:jc w:val="lef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279E8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Družba posluje z dobičkom zadnjih 5 let;</w:t>
      </w:r>
    </w:p>
    <w:p w:rsidR="00A279E8" w:rsidRPr="00A279E8" w:rsidRDefault="00A279E8" w:rsidP="00A279E8">
      <w:pPr>
        <w:widowControl/>
        <w:numPr>
          <w:ilvl w:val="0"/>
          <w:numId w:val="33"/>
        </w:numPr>
        <w:shd w:val="clear" w:color="auto" w:fill="FFFFFF"/>
        <w:ind w:left="270"/>
        <w:jc w:val="lef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279E8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Družba ima sprejeto razvojno strategijo;</w:t>
      </w:r>
    </w:p>
    <w:p w:rsidR="00A279E8" w:rsidRPr="00A279E8" w:rsidRDefault="00A279E8" w:rsidP="00A279E8">
      <w:pPr>
        <w:widowControl/>
        <w:numPr>
          <w:ilvl w:val="0"/>
          <w:numId w:val="33"/>
        </w:numPr>
        <w:shd w:val="clear" w:color="auto" w:fill="FFFFFF"/>
        <w:ind w:left="270"/>
        <w:jc w:val="lef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279E8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Transparentnost rezultatov gospodarjenja z ustreznimi javnimi predstavitvami (npr na spletu itd);</w:t>
      </w:r>
    </w:p>
    <w:p w:rsidR="00A279E8" w:rsidRPr="00A279E8" w:rsidRDefault="00A279E8" w:rsidP="00A279E8">
      <w:pPr>
        <w:widowControl/>
        <w:numPr>
          <w:ilvl w:val="0"/>
          <w:numId w:val="33"/>
        </w:numPr>
        <w:shd w:val="clear" w:color="auto" w:fill="FFFFFF"/>
        <w:ind w:left="270"/>
        <w:jc w:val="lef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279E8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Prijavnina na razpis, ki so je člani GZS oproščeni, znaša za posamezno kategorijo:</w:t>
      </w:r>
      <w:r w:rsidRPr="00A279E8">
        <w:rPr>
          <w:rStyle w:val="apple-converted-spac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 </w:t>
      </w:r>
      <w:r w:rsidRPr="00A279E8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 </w:t>
      </w:r>
    </w:p>
    <w:p w:rsidR="00A279E8" w:rsidRDefault="00A279E8" w:rsidP="00A279E8">
      <w:pPr>
        <w:pStyle w:val="Navadensplet"/>
        <w:shd w:val="clear" w:color="auto" w:fill="FFFFFF"/>
        <w:spacing w:before="0" w:beforeAutospacing="0" w:after="0" w:afterAutospacing="0"/>
        <w:ind w:left="1080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t>-         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3.000 eur za velike gospodarske družbe,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br/>
        <w:t>-         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eur za srednje gospodarske družbe,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br/>
      </w: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-         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300 eur za male in mikro gospodarske družbe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br/>
        <w:t>-         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100 eur za s.p.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br/>
      </w:r>
      <w:r w:rsidRPr="00A279E8">
        <w:rPr>
          <w:rFonts w:ascii="Tahoma" w:hAnsi="Tahoma" w:cs="Tahoma"/>
          <w:sz w:val="22"/>
          <w:szCs w:val="22"/>
        </w:rPr>
        <w:t>Prijavnino in DDV je potrebno poravnati po obvestilu Komisije, da je prijava skladna z razpisnimi pogoji.</w:t>
      </w:r>
    </w:p>
    <w:p w:rsidR="00A279E8" w:rsidRPr="00A279E8" w:rsidRDefault="00A279E8" w:rsidP="00A279E8">
      <w:pPr>
        <w:pStyle w:val="Navadensplet"/>
        <w:shd w:val="clear" w:color="auto" w:fill="FFFFFF"/>
        <w:spacing w:before="0" w:beforeAutospacing="0" w:after="0" w:afterAutospacing="0"/>
        <w:ind w:left="1080"/>
        <w:textAlignment w:val="baseline"/>
        <w:rPr>
          <w:rFonts w:ascii="Tahoma" w:hAnsi="Tahoma" w:cs="Tahoma"/>
          <w:sz w:val="22"/>
          <w:szCs w:val="22"/>
        </w:rPr>
      </w:pP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8.</w:t>
      </w: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MERILA ZA NAGRADO</w:t>
      </w: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Komisija pri oceni predlogov in izbiri nagrajencev upošteva zlasti:</w:t>
      </w:r>
    </w:p>
    <w:p w:rsidR="00A279E8" w:rsidRPr="00A279E8" w:rsidRDefault="00A279E8" w:rsidP="00A279E8">
      <w:pPr>
        <w:widowControl/>
        <w:numPr>
          <w:ilvl w:val="0"/>
          <w:numId w:val="34"/>
        </w:numPr>
        <w:shd w:val="clear" w:color="auto" w:fill="FFFFFF"/>
        <w:ind w:left="270"/>
        <w:jc w:val="lef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279E8">
        <w:rPr>
          <w:rStyle w:val="v10z1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splošne razvojne rezultate,</w:t>
      </w:r>
    </w:p>
    <w:p w:rsidR="00A279E8" w:rsidRPr="00A279E8" w:rsidRDefault="00A279E8" w:rsidP="00A279E8">
      <w:pPr>
        <w:widowControl/>
        <w:numPr>
          <w:ilvl w:val="0"/>
          <w:numId w:val="34"/>
        </w:numPr>
        <w:shd w:val="clear" w:color="auto" w:fill="FFFFFF"/>
        <w:ind w:left="270"/>
        <w:jc w:val="lef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279E8">
        <w:rPr>
          <w:rStyle w:val="v10z1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rezultate poslovanja,</w:t>
      </w:r>
    </w:p>
    <w:p w:rsidR="00A279E8" w:rsidRPr="00A279E8" w:rsidRDefault="00A279E8" w:rsidP="00A279E8">
      <w:pPr>
        <w:widowControl/>
        <w:numPr>
          <w:ilvl w:val="0"/>
          <w:numId w:val="34"/>
        </w:numPr>
        <w:shd w:val="clear" w:color="auto" w:fill="FFFFFF"/>
        <w:ind w:left="270"/>
        <w:jc w:val="lef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279E8">
        <w:rPr>
          <w:rStyle w:val="v10z1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tržne rezultate.</w:t>
      </w: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Pri tem posebej zasleduje:</w:t>
      </w:r>
    </w:p>
    <w:p w:rsidR="00A279E8" w:rsidRDefault="00A279E8" w:rsidP="00A279E8">
      <w:pPr>
        <w:pStyle w:val="v10z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</w:pP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t>a)   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t>Trajnost in stabilnost dosežkov v najmanj petletnem obdobju.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br/>
      </w: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b)   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Razvojno vizijo in strategijo gospodarske družbe ter njeno uresničevanje, obete dolgoročne rasti.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br/>
        <w:t>c)    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Poslovno uspešnost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t>in odličnost ter poslovno finančni položaj in rast gospodarske družbe, še zlasti v primerjavi z rezultati drugih družb enake dejavnosti.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br/>
        <w:t>d)   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t>Rast in konkurenčnost na domačem in tujih trgih ter dobre izvozne rezultate, uspešno osvajanje novih trgov, uveljavljanje lastnih blagovnih znamk.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br/>
        <w:t>e)   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Uvajanje in donosnost novih programov, poslovnih modelov, izdelkov in storitev,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t>posebej, ko so plod lastnega znanja ter sodelovanja z univerzami in inštituti.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br/>
      </w: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f)    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Uvajanje inovacij, rezultate razvojno raziskovalnega dela, rabo sodobnih tehnologij, učinkovito investiranje.</w:t>
      </w:r>
    </w:p>
    <w:p w:rsidR="00A279E8" w:rsidRDefault="00A279E8" w:rsidP="00A279E8">
      <w:pPr>
        <w:pStyle w:val="v10z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</w:pP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t>g)   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Rabo sodobne informacijske-komunikacijske tehnologije, učinkovito, transparentno uveljavljanje prek svetovnega spleta.</w:t>
      </w:r>
    </w:p>
    <w:p w:rsidR="00A279E8" w:rsidRDefault="00A279E8" w:rsidP="00A279E8">
      <w:pPr>
        <w:pStyle w:val="v10z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h)   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Ravnanje z okoljem in energetsko učinkovitost.</w:t>
      </w:r>
    </w:p>
    <w:p w:rsidR="00A279E8" w:rsidRDefault="00A279E8" w:rsidP="00A279E8">
      <w:pPr>
        <w:pStyle w:val="v10z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i)     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Upravljanje s človeškimi viri.</w:t>
      </w:r>
    </w:p>
    <w:p w:rsidR="00A279E8" w:rsidRDefault="00A279E8" w:rsidP="00A279E8">
      <w:pPr>
        <w:pStyle w:val="v10z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sz w:val="22"/>
          <w:szCs w:val="22"/>
          <w:bdr w:val="none" w:sz="0" w:space="0" w:color="auto" w:frame="1"/>
        </w:rPr>
      </w:pP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lastRenderedPageBreak/>
        <w:t>j)    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t>Sodobno organiziranost poslovanja, uspehe v organizacijski kulturi in pristopih.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br/>
        <w:t>k)   </w:t>
      </w:r>
      <w:r w:rsidRPr="00A279E8">
        <w:rPr>
          <w:rStyle w:val="apple-converted-space"/>
          <w:rFonts w:ascii="Tahoma" w:hAnsi="Tahoma" w:cs="Tahoma"/>
          <w:sz w:val="22"/>
          <w:szCs w:val="22"/>
          <w:bdr w:val="none" w:sz="0" w:space="0" w:color="auto" w:frame="1"/>
        </w:rPr>
        <w:t> 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t>Družbeno odgovornost podjetij ter njihovo povezanost z lokalnim in širšim okoljem;  spoštovanje etike in poslovnih kodeksov.</w:t>
      </w: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9.</w:t>
      </w: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POSTOPKI OCENJEVANJA</w:t>
      </w:r>
    </w:p>
    <w:p w:rsid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bdr w:val="none" w:sz="0" w:space="0" w:color="auto" w:frame="1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Odločitve komisije temeljijo na strokovni metodologiji ocenjevanja, dokumentaciji, lahko pa tudi na mnenju institucij ter strokovnjakov, ki jih po potrebi določi komisija kot recenzente.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br/>
        <w:t>Ocenjevanje posameznih predlogov je zaupno. Komisija do podelitve nagrad ne daje obvestil o svojem delu, razen tedaj, ko zaradi nepopolne dokumentacije ali prepozno prispelih predlogov preneha obravnavati posamezni predlog, o čemer pismeno obvesti predlagatelja.</w:t>
      </w:r>
      <w:r w:rsidRPr="00A279E8">
        <w:rPr>
          <w:rFonts w:ascii="Tahoma" w:hAnsi="Tahoma" w:cs="Tahoma"/>
          <w:sz w:val="22"/>
          <w:szCs w:val="22"/>
          <w:bdr w:val="none" w:sz="0" w:space="0" w:color="auto" w:frame="1"/>
        </w:rPr>
        <w:br/>
        <w:t>Ob dokončni izbiri nagrajencev, obvesti Komisija o svoji odločitvi nagrajence in njihove sodelavce zaradi predhodnih priprav na podelitev nagrad. Hkrati obvesti tudi kandidate, ki jih ni izbrala. </w:t>
      </w:r>
    </w:p>
    <w:p w:rsid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bdr w:val="none" w:sz="0" w:space="0" w:color="auto" w:frame="1"/>
        </w:rPr>
      </w:pP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Janez Škrabec, l.r.</w:t>
      </w:r>
    </w:p>
    <w:p w:rsidR="00A279E8" w:rsidRPr="00A279E8" w:rsidRDefault="00A279E8" w:rsidP="00A279E8">
      <w:pPr>
        <w:pStyle w:val="v10z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Style w:val="v10z1"/>
          <w:rFonts w:ascii="Tahoma" w:hAnsi="Tahoma" w:cs="Tahoma"/>
          <w:sz w:val="22"/>
          <w:szCs w:val="22"/>
          <w:bdr w:val="none" w:sz="0" w:space="0" w:color="auto" w:frame="1"/>
        </w:rPr>
        <w:t>Predsednik Komisije za nagrade GZS</w:t>
      </w:r>
    </w:p>
    <w:p w:rsidR="00A279E8" w:rsidRPr="00A279E8" w:rsidRDefault="00A279E8" w:rsidP="00A279E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 w:rsidRPr="00A279E8">
        <w:rPr>
          <w:rFonts w:ascii="Tahoma" w:hAnsi="Tahoma" w:cs="Tahoma"/>
          <w:sz w:val="22"/>
          <w:szCs w:val="22"/>
        </w:rPr>
        <w:t> </w:t>
      </w:r>
    </w:p>
    <w:p w:rsidR="00D40832" w:rsidRPr="00A279E8" w:rsidRDefault="00D40832" w:rsidP="00A279E8">
      <w:pPr>
        <w:rPr>
          <w:rFonts w:ascii="Tahoma" w:hAnsi="Tahoma" w:cs="Tahoma"/>
          <w:sz w:val="22"/>
          <w:szCs w:val="22"/>
        </w:rPr>
      </w:pPr>
    </w:p>
    <w:sectPr w:rsidR="00D40832" w:rsidRPr="00A279E8" w:rsidSect="00891695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1701" w:right="1701" w:bottom="1418" w:left="1418" w:header="425" w:footer="2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3F" w:rsidRDefault="0019173F" w:rsidP="00ED632A">
      <w:r>
        <w:separator/>
      </w:r>
    </w:p>
  </w:endnote>
  <w:endnote w:type="continuationSeparator" w:id="0">
    <w:p w:rsidR="0019173F" w:rsidRDefault="0019173F" w:rsidP="00E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7D" w:rsidRDefault="0019527D" w:rsidP="004B2FE3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A279E8">
      <w:rPr>
        <w:rStyle w:val="tevilkastrani"/>
        <w:noProof/>
      </w:rPr>
      <w:t>3</w:t>
    </w:r>
    <w:r w:rsidRPr="00675AAE">
      <w:rPr>
        <w:rStyle w:val="tevilkastrani"/>
      </w:rPr>
      <w:fldChar w:fldCharType="end"/>
    </w:r>
  </w:p>
  <w:p w:rsidR="0019527D" w:rsidRDefault="0019527D" w:rsidP="004B2FE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3F" w:rsidRDefault="0019173F" w:rsidP="00ED632A">
      <w:r>
        <w:separator/>
      </w:r>
    </w:p>
  </w:footnote>
  <w:footnote w:type="continuationSeparator" w:id="0">
    <w:p w:rsidR="0019173F" w:rsidRDefault="0019173F" w:rsidP="00ED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7D" w:rsidRDefault="00ED237D" w:rsidP="004B2FE3">
    <w:pPr>
      <w:pStyle w:val="Glava"/>
      <w:ind w:left="-1134"/>
      <w:jc w:val="left"/>
    </w:pPr>
    <w:r w:rsidRPr="00F2054F">
      <w:rPr>
        <w:noProof/>
        <w:lang w:eastAsia="sl-SI"/>
      </w:rPr>
      <w:drawing>
        <wp:inline distT="0" distB="0" distL="0" distR="0">
          <wp:extent cx="933450" cy="476250"/>
          <wp:effectExtent l="0" t="0" r="0" b="0"/>
          <wp:docPr id="1" name="Slika 3" descr="logo_gzs_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_gzs_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527D" w:rsidRDefault="0019527D" w:rsidP="004B2FE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7D" w:rsidRDefault="00ED237D" w:rsidP="004B2FE3">
    <w:pPr>
      <w:pStyle w:val="Glava"/>
      <w:ind w:left="-1134"/>
      <w:jc w:val="left"/>
    </w:pPr>
    <w:r w:rsidRPr="00F2054F">
      <w:rPr>
        <w:noProof/>
        <w:lang w:eastAsia="sl-SI"/>
      </w:rPr>
      <w:drawing>
        <wp:inline distT="0" distB="0" distL="0" distR="0">
          <wp:extent cx="933450" cy="476250"/>
          <wp:effectExtent l="0" t="0" r="0" b="0"/>
          <wp:docPr id="2" name="Slika 2" descr="logo_gzs_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gzs_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527D" w:rsidRPr="008B4EC5" w:rsidRDefault="00AA7D06" w:rsidP="004B2FE3">
    <w:pPr>
      <w:pStyle w:val="Glava"/>
      <w:pBdr>
        <w:bottom w:val="single" w:sz="18" w:space="1" w:color="808080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noProof/>
        <w:szCs w:val="14"/>
      </w:rPr>
      <w:t>Služba za strateško komuniciranje</w:t>
    </w:r>
    <w:r w:rsidR="0019527D">
      <w:rPr>
        <w:rFonts w:cs="Tahoma"/>
        <w:noProof/>
        <w:szCs w:val="14"/>
      </w:rPr>
      <w:t xml:space="preserve"> </w:t>
    </w:r>
  </w:p>
  <w:p w:rsidR="0019527D" w:rsidRDefault="0019527D" w:rsidP="004B2FE3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98 000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p w:rsidR="0019527D" w:rsidRDefault="0019527D" w:rsidP="004B2FE3">
    <w:pPr>
      <w:ind w:left="-1134"/>
      <w:rPr>
        <w:rFonts w:ascii="Verdana" w:hAnsi="Verdana" w:cs="Tahoma"/>
        <w:sz w:val="14"/>
        <w:szCs w:val="14"/>
      </w:rPr>
    </w:pPr>
  </w:p>
  <w:p w:rsidR="0019527D" w:rsidRPr="008B4EC5" w:rsidRDefault="0019527D" w:rsidP="00BD24D0">
    <w:pPr>
      <w:pStyle w:val="Glava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667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00A5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3C0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D85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AE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6CC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6C6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B6A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7E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D4C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24EB"/>
    <w:multiLevelType w:val="multilevel"/>
    <w:tmpl w:val="036A7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2373E9"/>
    <w:multiLevelType w:val="multilevel"/>
    <w:tmpl w:val="233C2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F52741"/>
    <w:multiLevelType w:val="multilevel"/>
    <w:tmpl w:val="40B4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83C0480"/>
    <w:multiLevelType w:val="multilevel"/>
    <w:tmpl w:val="C638D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705314"/>
    <w:multiLevelType w:val="multilevel"/>
    <w:tmpl w:val="BC3E4E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CA41C2"/>
    <w:multiLevelType w:val="multilevel"/>
    <w:tmpl w:val="E00E1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B56D0D"/>
    <w:multiLevelType w:val="multilevel"/>
    <w:tmpl w:val="D66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D7671D"/>
    <w:multiLevelType w:val="multilevel"/>
    <w:tmpl w:val="FED4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7D3102"/>
    <w:multiLevelType w:val="multilevel"/>
    <w:tmpl w:val="C960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9D53C1"/>
    <w:multiLevelType w:val="multilevel"/>
    <w:tmpl w:val="C644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5621AF"/>
    <w:multiLevelType w:val="multilevel"/>
    <w:tmpl w:val="DDD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141C3A"/>
    <w:multiLevelType w:val="multilevel"/>
    <w:tmpl w:val="11C6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805BD7"/>
    <w:multiLevelType w:val="multilevel"/>
    <w:tmpl w:val="1310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B5E43"/>
    <w:multiLevelType w:val="multilevel"/>
    <w:tmpl w:val="F7B0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1E1651"/>
    <w:multiLevelType w:val="multilevel"/>
    <w:tmpl w:val="C920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6A3239"/>
    <w:multiLevelType w:val="hybridMultilevel"/>
    <w:tmpl w:val="EFFE8CE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B66EFA"/>
    <w:multiLevelType w:val="multilevel"/>
    <w:tmpl w:val="9C74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FB6404"/>
    <w:multiLevelType w:val="multilevel"/>
    <w:tmpl w:val="8CA8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8503FA"/>
    <w:multiLevelType w:val="hybridMultilevel"/>
    <w:tmpl w:val="01F445EA"/>
    <w:lvl w:ilvl="0" w:tplc="B1C67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4EA8"/>
    <w:multiLevelType w:val="multilevel"/>
    <w:tmpl w:val="917A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842A41"/>
    <w:multiLevelType w:val="multilevel"/>
    <w:tmpl w:val="8BD0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7D697F"/>
    <w:multiLevelType w:val="multilevel"/>
    <w:tmpl w:val="DBB0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B63BD2"/>
    <w:multiLevelType w:val="hybridMultilevel"/>
    <w:tmpl w:val="69C87EFE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E624CA"/>
    <w:multiLevelType w:val="multilevel"/>
    <w:tmpl w:val="1E9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2"/>
  </w:num>
  <w:num w:numId="3">
    <w:abstractNumId w:val="2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8"/>
  </w:num>
  <w:num w:numId="15">
    <w:abstractNumId w:val="33"/>
  </w:num>
  <w:num w:numId="16">
    <w:abstractNumId w:val="16"/>
  </w:num>
  <w:num w:numId="17">
    <w:abstractNumId w:val="18"/>
  </w:num>
  <w:num w:numId="18">
    <w:abstractNumId w:val="11"/>
  </w:num>
  <w:num w:numId="19">
    <w:abstractNumId w:val="22"/>
  </w:num>
  <w:num w:numId="20">
    <w:abstractNumId w:val="19"/>
  </w:num>
  <w:num w:numId="21">
    <w:abstractNumId w:val="27"/>
  </w:num>
  <w:num w:numId="22">
    <w:abstractNumId w:val="13"/>
  </w:num>
  <w:num w:numId="23">
    <w:abstractNumId w:val="17"/>
  </w:num>
  <w:num w:numId="24">
    <w:abstractNumId w:val="30"/>
  </w:num>
  <w:num w:numId="25">
    <w:abstractNumId w:val="31"/>
  </w:num>
  <w:num w:numId="26">
    <w:abstractNumId w:val="24"/>
  </w:num>
  <w:num w:numId="27">
    <w:abstractNumId w:val="15"/>
  </w:num>
  <w:num w:numId="28">
    <w:abstractNumId w:val="21"/>
  </w:num>
  <w:num w:numId="29">
    <w:abstractNumId w:val="29"/>
  </w:num>
  <w:num w:numId="30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1">
    <w:abstractNumId w:val="23"/>
  </w:num>
  <w:num w:numId="32">
    <w:abstractNumId w:val="26"/>
  </w:num>
  <w:num w:numId="33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32"/>
    <w:rsid w:val="00025C8B"/>
    <w:rsid w:val="00033B66"/>
    <w:rsid w:val="00091283"/>
    <w:rsid w:val="00094DDE"/>
    <w:rsid w:val="000956C1"/>
    <w:rsid w:val="000C2717"/>
    <w:rsid w:val="000F6D94"/>
    <w:rsid w:val="001164DA"/>
    <w:rsid w:val="001278B0"/>
    <w:rsid w:val="0019173F"/>
    <w:rsid w:val="0019527D"/>
    <w:rsid w:val="001978EB"/>
    <w:rsid w:val="001F78FD"/>
    <w:rsid w:val="00203E23"/>
    <w:rsid w:val="00234FCC"/>
    <w:rsid w:val="00240A06"/>
    <w:rsid w:val="002827CC"/>
    <w:rsid w:val="00296DEF"/>
    <w:rsid w:val="002A7A06"/>
    <w:rsid w:val="002D08CB"/>
    <w:rsid w:val="002D46A6"/>
    <w:rsid w:val="00310794"/>
    <w:rsid w:val="0034283F"/>
    <w:rsid w:val="00345DC0"/>
    <w:rsid w:val="003A6C87"/>
    <w:rsid w:val="003D2052"/>
    <w:rsid w:val="003D727A"/>
    <w:rsid w:val="00425F19"/>
    <w:rsid w:val="00430BBB"/>
    <w:rsid w:val="00465D1B"/>
    <w:rsid w:val="004B2FE3"/>
    <w:rsid w:val="004C22C0"/>
    <w:rsid w:val="004F7933"/>
    <w:rsid w:val="00504E45"/>
    <w:rsid w:val="005731EE"/>
    <w:rsid w:val="005A40C3"/>
    <w:rsid w:val="005E18C9"/>
    <w:rsid w:val="006037F9"/>
    <w:rsid w:val="006057BF"/>
    <w:rsid w:val="006921E1"/>
    <w:rsid w:val="00692ECD"/>
    <w:rsid w:val="0069382F"/>
    <w:rsid w:val="006B5BAD"/>
    <w:rsid w:val="006D0622"/>
    <w:rsid w:val="00720400"/>
    <w:rsid w:val="00740076"/>
    <w:rsid w:val="007564AB"/>
    <w:rsid w:val="00774E54"/>
    <w:rsid w:val="007803A1"/>
    <w:rsid w:val="0080270E"/>
    <w:rsid w:val="00804F88"/>
    <w:rsid w:val="008639BA"/>
    <w:rsid w:val="008662AD"/>
    <w:rsid w:val="00891695"/>
    <w:rsid w:val="008C7A13"/>
    <w:rsid w:val="008D7987"/>
    <w:rsid w:val="00912497"/>
    <w:rsid w:val="0097754D"/>
    <w:rsid w:val="00996A7D"/>
    <w:rsid w:val="009B0E01"/>
    <w:rsid w:val="009B2475"/>
    <w:rsid w:val="009F11B5"/>
    <w:rsid w:val="00A279E8"/>
    <w:rsid w:val="00A35A7B"/>
    <w:rsid w:val="00A90738"/>
    <w:rsid w:val="00AA1DC4"/>
    <w:rsid w:val="00AA7D06"/>
    <w:rsid w:val="00AC41E6"/>
    <w:rsid w:val="00AE48F0"/>
    <w:rsid w:val="00AF4B6B"/>
    <w:rsid w:val="00B04BC0"/>
    <w:rsid w:val="00B16D8D"/>
    <w:rsid w:val="00B9569C"/>
    <w:rsid w:val="00B95E75"/>
    <w:rsid w:val="00BA4D99"/>
    <w:rsid w:val="00BC47D7"/>
    <w:rsid w:val="00BC4E4D"/>
    <w:rsid w:val="00BC7F50"/>
    <w:rsid w:val="00BD24D0"/>
    <w:rsid w:val="00C66B4D"/>
    <w:rsid w:val="00CB2211"/>
    <w:rsid w:val="00CC55C7"/>
    <w:rsid w:val="00CE3B6F"/>
    <w:rsid w:val="00CE4BD4"/>
    <w:rsid w:val="00CF58CF"/>
    <w:rsid w:val="00D40832"/>
    <w:rsid w:val="00D93064"/>
    <w:rsid w:val="00D9758C"/>
    <w:rsid w:val="00E6257A"/>
    <w:rsid w:val="00E8017E"/>
    <w:rsid w:val="00ED237D"/>
    <w:rsid w:val="00ED632A"/>
    <w:rsid w:val="00F73850"/>
    <w:rsid w:val="00F86BC1"/>
    <w:rsid w:val="00FA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2EB97E7-4ED3-4F93-A545-4623BC7D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632A"/>
    <w:pPr>
      <w:widowControl w:val="0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Naslov1">
    <w:name w:val="heading 1"/>
    <w:basedOn w:val="Navaden"/>
    <w:next w:val="Navaden"/>
    <w:qFormat/>
    <w:rsid w:val="00465D1B"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rsid w:val="00AA7D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AA7D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D632A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character" w:customStyle="1" w:styleId="GlavaZnak">
    <w:name w:val="Glava Znak"/>
    <w:basedOn w:val="Privzetapisavaodstavka"/>
    <w:link w:val="Glava"/>
    <w:rsid w:val="00ED632A"/>
    <w:rPr>
      <w:rFonts w:ascii="Verdana" w:eastAsia="Times New Roman" w:hAnsi="Verdana" w:cs="Times New Roman"/>
      <w:sz w:val="14"/>
      <w:szCs w:val="20"/>
    </w:rPr>
  </w:style>
  <w:style w:type="paragraph" w:styleId="Noga">
    <w:name w:val="footer"/>
    <w:basedOn w:val="Navaden"/>
    <w:link w:val="NogaZnak"/>
    <w:rsid w:val="00ED632A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customStyle="1" w:styleId="NogaZnak">
    <w:name w:val="Noga Znak"/>
    <w:basedOn w:val="Privzetapisavaodstavka"/>
    <w:link w:val="Noga"/>
    <w:rsid w:val="00ED632A"/>
    <w:rPr>
      <w:rFonts w:ascii="Verdana" w:eastAsia="Times New Roman" w:hAnsi="Verdana" w:cs="Times New Roman"/>
      <w:color w:val="000000"/>
      <w:sz w:val="14"/>
      <w:szCs w:val="14"/>
    </w:rPr>
  </w:style>
  <w:style w:type="character" w:styleId="tevilkastrani">
    <w:name w:val="page number"/>
    <w:basedOn w:val="Privzetapisavaodstavka"/>
    <w:rsid w:val="00ED63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63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632A"/>
    <w:rPr>
      <w:rFonts w:ascii="Tahoma" w:eastAsia="Times New Roman" w:hAnsi="Tahoma" w:cs="Tahoma"/>
      <w:sz w:val="16"/>
      <w:szCs w:val="16"/>
    </w:rPr>
  </w:style>
  <w:style w:type="character" w:styleId="Hiperpovezava">
    <w:name w:val="Hyperlink"/>
    <w:basedOn w:val="Privzetapisavaodstavka"/>
    <w:rsid w:val="00BA4D99"/>
    <w:rPr>
      <w:color w:val="0000FF"/>
      <w:u w:val="single"/>
    </w:rPr>
  </w:style>
  <w:style w:type="character" w:styleId="Krepko">
    <w:name w:val="Strong"/>
    <w:basedOn w:val="Privzetapisavaodstavka"/>
    <w:qFormat/>
    <w:rsid w:val="00AC41E6"/>
    <w:rPr>
      <w:b/>
      <w:bCs/>
    </w:rPr>
  </w:style>
  <w:style w:type="paragraph" w:styleId="Navadensplet">
    <w:name w:val="Normal (Web)"/>
    <w:basedOn w:val="Navaden"/>
    <w:uiPriority w:val="99"/>
    <w:rsid w:val="00AC41E6"/>
    <w:pPr>
      <w:widowControl/>
      <w:spacing w:before="100" w:beforeAutospacing="1" w:after="100" w:afterAutospacing="1"/>
      <w:jc w:val="left"/>
    </w:pPr>
    <w:rPr>
      <w:szCs w:val="24"/>
      <w:lang w:eastAsia="sl-SI"/>
    </w:rPr>
  </w:style>
  <w:style w:type="character" w:customStyle="1" w:styleId="st1">
    <w:name w:val="st1"/>
    <w:basedOn w:val="Privzetapisavaodstavka"/>
    <w:rsid w:val="006037F9"/>
  </w:style>
  <w:style w:type="table" w:styleId="Tabelaspletna3">
    <w:name w:val="Table Web 3"/>
    <w:basedOn w:val="Navadnatabela"/>
    <w:rsid w:val="00891695"/>
    <w:pPr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basedOn w:val="Privzetapisavaodstavka"/>
    <w:qFormat/>
    <w:rsid w:val="00AA7D06"/>
    <w:rPr>
      <w:i/>
      <w:iCs/>
    </w:rPr>
  </w:style>
  <w:style w:type="character" w:customStyle="1" w:styleId="vsebina1">
    <w:name w:val="vsebina1"/>
    <w:basedOn w:val="Privzetapisavaodstavka"/>
    <w:rsid w:val="00AA7D06"/>
    <w:rPr>
      <w:rFonts w:ascii="Arial" w:hAnsi="Arial" w:cs="Arial" w:hint="default"/>
      <w:color w:val="333333"/>
      <w:sz w:val="12"/>
      <w:szCs w:val="12"/>
    </w:rPr>
  </w:style>
  <w:style w:type="character" w:customStyle="1" w:styleId="vsebinanaslov1">
    <w:name w:val="vsebinanaslov1"/>
    <w:basedOn w:val="Privzetapisavaodstavka"/>
    <w:rsid w:val="00D40832"/>
    <w:rPr>
      <w:rFonts w:ascii="Arial" w:hAnsi="Arial" w:cs="Arial" w:hint="default"/>
      <w:b/>
      <w:bCs/>
      <w:color w:val="283270"/>
      <w:sz w:val="14"/>
      <w:szCs w:val="14"/>
      <w:bdr w:val="none" w:sz="0" w:space="0" w:color="auto" w:frame="1"/>
    </w:rPr>
  </w:style>
  <w:style w:type="character" w:customStyle="1" w:styleId="v10z1">
    <w:name w:val="v10z1"/>
    <w:basedOn w:val="Privzetapisavaodstavka"/>
    <w:rsid w:val="00430BBB"/>
  </w:style>
  <w:style w:type="paragraph" w:customStyle="1" w:styleId="v10z">
    <w:name w:val="v10z"/>
    <w:basedOn w:val="Navaden"/>
    <w:rsid w:val="00430BBB"/>
    <w:pPr>
      <w:widowControl/>
      <w:spacing w:before="100" w:beforeAutospacing="1" w:after="100" w:afterAutospacing="1"/>
      <w:jc w:val="left"/>
    </w:pPr>
    <w:rPr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43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icon\AppData\Roaming\Microsoft\Predloge\GZS-strat%20komun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GZS-strat komun.dot</Template>
  <TotalTime>0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medijem</vt:lpstr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medijem</dc:title>
  <dc:subject/>
  <dc:creator>TAJDA PELICON</dc:creator>
  <cp:keywords/>
  <cp:lastModifiedBy>Tajda Pelicon</cp:lastModifiedBy>
  <cp:revision>2</cp:revision>
  <cp:lastPrinted>2012-09-26T09:57:00Z</cp:lastPrinted>
  <dcterms:created xsi:type="dcterms:W3CDTF">2017-02-27T14:01:00Z</dcterms:created>
  <dcterms:modified xsi:type="dcterms:W3CDTF">2017-02-27T14:01:00Z</dcterms:modified>
</cp:coreProperties>
</file>