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6280" w14:textId="38EC5ECE" w:rsidR="000E24C6" w:rsidRPr="005D07B9" w:rsidRDefault="000E24C6" w:rsidP="000609D4">
      <w:pPr>
        <w:jc w:val="center"/>
        <w:rPr>
          <w:sz w:val="28"/>
        </w:rPr>
      </w:pPr>
      <w:r w:rsidRPr="005D07B9">
        <w:rPr>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60D06E2F"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482D33E1" w14:textId="77777777" w:rsidR="002051DF" w:rsidRDefault="002051DF">
      <w:pPr>
        <w:rPr>
          <w:b/>
          <w:color w:val="FF0000"/>
        </w:rPr>
      </w:pPr>
      <w:r>
        <w:rPr>
          <w:b/>
          <w:color w:val="FF0000"/>
        </w:rPr>
        <w:br w:type="page"/>
      </w:r>
    </w:p>
    <w:p w14:paraId="0714404D" w14:textId="11546F36" w:rsidR="003A3FE9" w:rsidRPr="000E24C6" w:rsidRDefault="008D18A6" w:rsidP="00A3241E">
      <w:pPr>
        <w:jc w:val="center"/>
        <w:rPr>
          <w:b/>
          <w:i/>
        </w:rPr>
      </w:pPr>
      <w:r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4DE9AD9C"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FA46C3">
        <w:t>okoljskih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77777777" w:rsidR="00AE2006" w:rsidRDefault="00AE2006" w:rsidP="00AE2006">
      <w:pPr>
        <w:pStyle w:val="Odstavekseznama"/>
        <w:numPr>
          <w:ilvl w:val="0"/>
          <w:numId w:val="14"/>
        </w:numPr>
        <w:jc w:val="both"/>
        <w:rPr>
          <w:i/>
        </w:rPr>
      </w:pPr>
      <w:r w:rsidRPr="002E6729">
        <w:t xml:space="preserve">V kolikor lahko, umestite predlagano inovacijo v eno izmed prioritetnih področij in </w:t>
      </w:r>
      <w:proofErr w:type="spellStart"/>
      <w:r w:rsidRPr="002E6729">
        <w:t>podpodročij</w:t>
      </w:r>
      <w:proofErr w:type="spellEnd"/>
      <w:r w:rsidRPr="002E6729">
        <w:t xml:space="preserve">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2BC31C3E"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multidisciplinarnosti</w:t>
      </w:r>
      <w:proofErr w:type="spellEnd"/>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1345CA4B"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proofErr w:type="spellStart"/>
      <w:r w:rsidR="0051547F">
        <w:t>netehnološke</w:t>
      </w:r>
      <w:proofErr w:type="spellEnd"/>
      <w:r w:rsidR="0051547F">
        <w:t xml:space="preserv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75494475" w14:textId="53194B92" w:rsidR="00DC09D5" w:rsidRDefault="00DC09D5" w:rsidP="004B17C9">
      <w:pPr>
        <w:rPr>
          <w:b/>
          <w:sz w:val="24"/>
        </w:rPr>
      </w:pPr>
      <w:r w:rsidRPr="00CB3D96">
        <w:rPr>
          <w:b/>
          <w:sz w:val="24"/>
        </w:rPr>
        <w:t>TRAJNOSTNI UČINKI</w:t>
      </w:r>
    </w:p>
    <w:p w14:paraId="0C74FFCD" w14:textId="06DE4012" w:rsidR="00EA3233" w:rsidRPr="00EA3233" w:rsidRDefault="00EA3233" w:rsidP="00AC581F">
      <w:pPr>
        <w:jc w:val="both"/>
        <w:rPr>
          <w:bCs/>
          <w:i/>
          <w:iCs/>
          <w:szCs w:val="20"/>
        </w:rPr>
      </w:pPr>
      <w:r w:rsidRPr="00EA3233">
        <w:rPr>
          <w:bCs/>
          <w:i/>
          <w:iCs/>
          <w:szCs w:val="20"/>
        </w:rPr>
        <w:lastRenderedPageBreak/>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w:t>
      </w:r>
      <w:proofErr w:type="spellStart"/>
      <w:r w:rsidRPr="00EA3233">
        <w:rPr>
          <w:bCs/>
          <w:i/>
          <w:iCs/>
          <w:szCs w:val="20"/>
        </w:rPr>
        <w:t>and</w:t>
      </w:r>
      <w:proofErr w:type="spellEnd"/>
      <w:r w:rsidRPr="00EA3233">
        <w:rPr>
          <w:bCs/>
          <w:i/>
          <w:iCs/>
          <w:szCs w:val="20"/>
        </w:rPr>
        <w:t xml:space="preserve">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C32FA4"/>
    <w:rsid w:val="00CA752B"/>
    <w:rsid w:val="00CB3D96"/>
    <w:rsid w:val="00CE76A5"/>
    <w:rsid w:val="00CF12F5"/>
    <w:rsid w:val="00CF1AB9"/>
    <w:rsid w:val="00CF1CFF"/>
    <w:rsid w:val="00CF6703"/>
    <w:rsid w:val="00D1158D"/>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Jana Kragelj Ličen</cp:lastModifiedBy>
  <cp:revision>2</cp:revision>
  <cp:lastPrinted>2019-01-09T08:29:00Z</cp:lastPrinted>
  <dcterms:created xsi:type="dcterms:W3CDTF">2021-02-04T08:57:00Z</dcterms:created>
  <dcterms:modified xsi:type="dcterms:W3CDTF">2021-02-04T08:57:00Z</dcterms:modified>
</cp:coreProperties>
</file>