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3A4CA" w14:textId="77777777" w:rsidR="00955A1D" w:rsidRDefault="00955A1D" w:rsidP="00955A1D">
      <w:pPr>
        <w:pStyle w:val="Telobesedila"/>
        <w:rPr>
          <w:b/>
        </w:rPr>
      </w:pPr>
    </w:p>
    <w:p w14:paraId="47EB54E5" w14:textId="77777777" w:rsidR="00955A1D" w:rsidRDefault="00955A1D" w:rsidP="00955A1D">
      <w:pPr>
        <w:pStyle w:val="Telobesedila"/>
        <w:rPr>
          <w:b/>
        </w:rPr>
      </w:pPr>
    </w:p>
    <w:p w14:paraId="6AC254D3" w14:textId="25B5BB9E" w:rsidR="00955A1D" w:rsidRPr="00B269B2" w:rsidRDefault="00955A1D" w:rsidP="00955A1D">
      <w:pPr>
        <w:pStyle w:val="Telobesedila"/>
        <w:rPr>
          <w:b/>
        </w:rPr>
      </w:pPr>
      <w:r w:rsidRPr="00B269B2">
        <w:rPr>
          <w:b/>
        </w:rPr>
        <w:t xml:space="preserve">PODJETNIKI </w:t>
      </w:r>
    </w:p>
    <w:p w14:paraId="3C3D1FC8" w14:textId="77777777" w:rsidR="00955A1D" w:rsidRDefault="00955A1D" w:rsidP="00955A1D">
      <w:pPr>
        <w:pStyle w:val="Telobesedila"/>
      </w:pPr>
    </w:p>
    <w:p w14:paraId="0FF92289" w14:textId="77777777" w:rsidR="00955A1D" w:rsidRDefault="00955A1D" w:rsidP="00955A1D">
      <w:pPr>
        <w:pStyle w:val="Telobesedila"/>
      </w:pPr>
      <w:r>
        <w:t xml:space="preserve">Za leto 2023 je letno poročilo predložilo 5.237 podjetnikov, 98,6 % vseh zavezanih. Število podjetnikov, ki so obdavčeni na podlagi normiranih odhodkov še vedno raste, a se njihova rast počasi umirja. Podjetniki so za razliko od družb v letu 2023 realizirali za 11 % več prihodkov kot v letu 2022. Prihodki podjetnikov predstavljajo 6,6 % prihodkov družb, ustvarjeni so bili pretežno s prodajo na domačem trgu. Izkazan neto podjetnikov dohodek, ki vključuje tudi plačilo za delo podjetnika samega, se je povečal za 21 % in je znašal 54 milijonov evrov. </w:t>
      </w:r>
    </w:p>
    <w:p w14:paraId="63AEA44E" w14:textId="77777777" w:rsidR="00955A1D" w:rsidRDefault="00955A1D" w:rsidP="00955A1D">
      <w:pPr>
        <w:pStyle w:val="Telobesedila"/>
      </w:pPr>
    </w:p>
    <w:p w14:paraId="3DE22991" w14:textId="77777777" w:rsidR="00955A1D" w:rsidRPr="00B97BAC" w:rsidRDefault="00955A1D" w:rsidP="00955A1D">
      <w:pPr>
        <w:pStyle w:val="Telobesedila"/>
      </w:pPr>
      <w:r w:rsidRPr="00B97BAC">
        <w:t>Gorenjski podjetniki so v letu 202</w:t>
      </w:r>
      <w:r>
        <w:t>3</w:t>
      </w:r>
      <w:r w:rsidRPr="00B97BAC">
        <w:t xml:space="preserve"> zaposlovali </w:t>
      </w:r>
      <w:r>
        <w:t>3.641</w:t>
      </w:r>
      <w:r w:rsidRPr="00B97BAC">
        <w:t xml:space="preserve"> delavcev, </w:t>
      </w:r>
      <w:r>
        <w:t>186</w:t>
      </w:r>
      <w:r w:rsidRPr="00B97BAC">
        <w:t xml:space="preserve"> več kot v letu 202</w:t>
      </w:r>
      <w:r>
        <w:t>2</w:t>
      </w:r>
      <w:r w:rsidRPr="00EB3FB0">
        <w:t xml:space="preserve">. V podatek o številu zaposlenih nosilci dejavnosti oziroma lastniki niso zajeti. </w:t>
      </w:r>
      <w:r w:rsidRPr="00F10D86">
        <w:t>67,7 %</w:t>
      </w:r>
      <w:r w:rsidRPr="00EB3FB0">
        <w:t xml:space="preserve"> samostojnih podjetnikov rešuje lasten obstoj oz. so brez zaposlenih. 5</w:t>
      </w:r>
      <w:r>
        <w:t>1</w:t>
      </w:r>
      <w:r w:rsidRPr="00EB3FB0">
        <w:t xml:space="preserve"> podjetnikov nudi delo več kot 10 zaposlenim.</w:t>
      </w:r>
    </w:p>
    <w:p w14:paraId="2861625D" w14:textId="77777777" w:rsidR="00955A1D" w:rsidRDefault="00955A1D" w:rsidP="00955A1D">
      <w:pPr>
        <w:pStyle w:val="Telobesedila"/>
      </w:pPr>
    </w:p>
    <w:p w14:paraId="3B075696" w14:textId="77777777" w:rsidR="00955A1D" w:rsidRDefault="00955A1D" w:rsidP="00955A1D">
      <w:pPr>
        <w:pStyle w:val="Telobesedila"/>
      </w:pPr>
      <w:r w:rsidRPr="00D8181F">
        <w:t xml:space="preserve">Podjetniki so ustvarili </w:t>
      </w:r>
      <w:r>
        <w:t>175</w:t>
      </w:r>
      <w:r w:rsidRPr="00D8181F">
        <w:t xml:space="preserve"> milijonov evrov neto dodane vrednosti, 1</w:t>
      </w:r>
      <w:r>
        <w:t>7</w:t>
      </w:r>
      <w:r w:rsidRPr="00D8181F">
        <w:t xml:space="preserve"> % več </w:t>
      </w:r>
      <w:r>
        <w:t>kot</w:t>
      </w:r>
      <w:r w:rsidRPr="00D8181F">
        <w:t xml:space="preserve"> v letu 202</w:t>
      </w:r>
      <w:r>
        <w:t>2</w:t>
      </w:r>
      <w:r w:rsidRPr="00D8181F">
        <w:t xml:space="preserve">. Neto dodana vrednost podjetnikov je pomenila </w:t>
      </w:r>
      <w:r>
        <w:t>6,3</w:t>
      </w:r>
      <w:r w:rsidRPr="00D8181F">
        <w:t xml:space="preserve"> % neto dodane vrednosti družb. Neto dodana vrednost na zaposlenega je znašala </w:t>
      </w:r>
      <w:r>
        <w:t>48.036</w:t>
      </w:r>
      <w:r w:rsidRPr="00D8181F">
        <w:t xml:space="preserve"> evrov, </w:t>
      </w:r>
      <w:r>
        <w:t>11</w:t>
      </w:r>
      <w:r w:rsidRPr="00D8181F">
        <w:t xml:space="preserve"> % več kot v letu</w:t>
      </w:r>
      <w:r w:rsidRPr="00B97BAC">
        <w:t xml:space="preserve"> 202</w:t>
      </w:r>
      <w:r>
        <w:t>2</w:t>
      </w:r>
      <w:r w:rsidRPr="00B97BAC">
        <w:t xml:space="preserve">, neto dodana vrednost na nosilca dejavnosti skupaj z njegovimi zaposlenimi, ki so prav tako ustvarjalci dejavnosti pa je znašala </w:t>
      </w:r>
      <w:r>
        <w:t>19.701</w:t>
      </w:r>
      <w:r w:rsidRPr="00B97BAC">
        <w:t xml:space="preserve"> evro, 1</w:t>
      </w:r>
      <w:r>
        <w:t>4</w:t>
      </w:r>
      <w:r w:rsidRPr="00B97BAC">
        <w:t xml:space="preserve"> % več kot leto poprej. Neto dodano vrednost so ugotovile vse dejavnosti in vse občine v regiji, več kot 70 % celotne NDV pa so ustvarile najmočnejše gospodarske panoge</w:t>
      </w:r>
      <w:r>
        <w:t xml:space="preserve"> v regiji</w:t>
      </w:r>
      <w:r w:rsidRPr="00B97BAC">
        <w:t xml:space="preserve">: gradbeništvo </w:t>
      </w:r>
      <w:r>
        <w:t>27,8</w:t>
      </w:r>
      <w:r w:rsidRPr="00B97BAC">
        <w:t xml:space="preserve"> %, predelovalne dejavnosti </w:t>
      </w:r>
      <w:r>
        <w:t>19,4</w:t>
      </w:r>
      <w:r w:rsidRPr="00B97BAC">
        <w:t xml:space="preserve"> %, gostinstvo </w:t>
      </w:r>
      <w:r>
        <w:t>13,7</w:t>
      </w:r>
      <w:r w:rsidRPr="00B97BAC">
        <w:t xml:space="preserve"> %</w:t>
      </w:r>
      <w:r>
        <w:t xml:space="preserve"> in trgovina 12,2 %.</w:t>
      </w:r>
    </w:p>
    <w:p w14:paraId="2391994D" w14:textId="77777777" w:rsidR="00955A1D" w:rsidRDefault="00955A1D" w:rsidP="00955A1D">
      <w:pPr>
        <w:pStyle w:val="Telobesedila"/>
      </w:pPr>
    </w:p>
    <w:p w14:paraId="23B2EC87" w14:textId="77777777" w:rsidR="00955A1D" w:rsidRPr="00B97BAC" w:rsidRDefault="00955A1D" w:rsidP="00955A1D">
      <w:pPr>
        <w:pStyle w:val="Telobesedila"/>
      </w:pPr>
      <w:r w:rsidRPr="00B97BAC">
        <w:t xml:space="preserve">Po obsegu ekonomskih postavk </w:t>
      </w:r>
      <w:r>
        <w:t>je</w:t>
      </w:r>
      <w:r w:rsidRPr="00B97BAC">
        <w:t xml:space="preserve"> v preteklem letu izstopa</w:t>
      </w:r>
      <w:r>
        <w:t>lo 1.268</w:t>
      </w:r>
      <w:r w:rsidRPr="00B97BAC">
        <w:t xml:space="preserve"> podjetnikov</w:t>
      </w:r>
      <w:r>
        <w:t xml:space="preserve"> – </w:t>
      </w:r>
      <w:r w:rsidRPr="00B97BAC">
        <w:t>gradbenikov</w:t>
      </w:r>
      <w:r>
        <w:t xml:space="preserve"> in 703</w:t>
      </w:r>
      <w:r w:rsidRPr="00B97BAC">
        <w:t xml:space="preserve"> podjetnik</w:t>
      </w:r>
      <w:r>
        <w:t>i</w:t>
      </w:r>
      <w:r w:rsidRPr="00B97BAC">
        <w:t xml:space="preserve"> predelovalne dejavnosti, saj so</w:t>
      </w:r>
      <w:r>
        <w:t xml:space="preserve"> podjetniki</w:t>
      </w:r>
      <w:r w:rsidRPr="00B97BAC">
        <w:t xml:space="preserve"> v teh dveh dejavnostih </w:t>
      </w:r>
      <w:r>
        <w:t>nudili delo</w:t>
      </w:r>
      <w:r w:rsidRPr="00B97BAC">
        <w:t xml:space="preserve"> </w:t>
      </w:r>
      <w:r>
        <w:t>skoraj polovici vseh</w:t>
      </w:r>
      <w:r w:rsidRPr="00B97BAC">
        <w:t xml:space="preserve"> zaposlenih</w:t>
      </w:r>
      <w:r>
        <w:t xml:space="preserve"> pri podjetnikih v regiji</w:t>
      </w:r>
      <w:r w:rsidRPr="00B97BAC">
        <w:t xml:space="preserve"> in ustvarili </w:t>
      </w:r>
      <w:r>
        <w:t xml:space="preserve">42,3 </w:t>
      </w:r>
      <w:r w:rsidRPr="00B97BAC">
        <w:t xml:space="preserve">% vseh regijskih prihodkov. </w:t>
      </w:r>
    </w:p>
    <w:p w14:paraId="2228AA72" w14:textId="77777777" w:rsidR="00955A1D" w:rsidRPr="00B97BAC" w:rsidRDefault="00955A1D" w:rsidP="00955A1D">
      <w:pPr>
        <w:pStyle w:val="Telobesedila"/>
      </w:pPr>
    </w:p>
    <w:p w14:paraId="0D1FA21F" w14:textId="77777777" w:rsidR="00955A1D" w:rsidRPr="00FF0485" w:rsidRDefault="00955A1D" w:rsidP="00955A1D">
      <w:pPr>
        <w:pStyle w:val="Telobesedila"/>
      </w:pPr>
      <w:r w:rsidRPr="00B97BAC">
        <w:t>Gorenjski podjetniki so konec leta 202</w:t>
      </w:r>
      <w:r>
        <w:t>2</w:t>
      </w:r>
      <w:r w:rsidRPr="00B97BAC">
        <w:t xml:space="preserve"> razpolagali s </w:t>
      </w:r>
      <w:r>
        <w:t>406</w:t>
      </w:r>
      <w:r w:rsidRPr="00B97BAC">
        <w:t xml:space="preserve"> </w:t>
      </w:r>
      <w:r>
        <w:t>milijoni</w:t>
      </w:r>
      <w:r w:rsidRPr="00B97BAC">
        <w:t xml:space="preserve"> evri sredstev oz. obveznostmi do virov sredstev, kar je 10 % več kot leto prej. Delež podjetnikovega kapitala v virih sredstev, kot najkvalitetnejšega vira financiranja sredstev, je v regiji znašal 58,</w:t>
      </w:r>
      <w:r>
        <w:t>9</w:t>
      </w:r>
      <w:r w:rsidRPr="00B97BAC">
        <w:t xml:space="preserve"> %</w:t>
      </w:r>
      <w:r w:rsidRPr="00FF0485">
        <w:t xml:space="preserve">, v državi pa </w:t>
      </w:r>
      <w:r>
        <w:t>57,2</w:t>
      </w:r>
      <w:r w:rsidRPr="00FF0485">
        <w:t xml:space="preserve"> %.</w:t>
      </w:r>
    </w:p>
    <w:p w14:paraId="119B3669" w14:textId="77777777" w:rsidR="00955A1D" w:rsidRDefault="00955A1D" w:rsidP="00955A1D">
      <w:pPr>
        <w:pStyle w:val="Telobesedila"/>
      </w:pPr>
    </w:p>
    <w:p w14:paraId="0A832800" w14:textId="77777777" w:rsidR="00955A1D" w:rsidRDefault="00955A1D" w:rsidP="00955A1D">
      <w:pPr>
        <w:pStyle w:val="Telobesedila"/>
        <w:jc w:val="center"/>
      </w:pPr>
      <w:r w:rsidRPr="001C5211">
        <w:rPr>
          <w:noProof/>
        </w:rPr>
        <w:lastRenderedPageBreak/>
        <w:drawing>
          <wp:inline distT="0" distB="0" distL="0" distR="0" wp14:anchorId="4595DEF4" wp14:editId="2196FDD3">
            <wp:extent cx="3943985" cy="4449205"/>
            <wp:effectExtent l="0" t="0" r="0" b="889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479" cy="446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230E9" w14:textId="77777777" w:rsidR="00955A1D" w:rsidRDefault="00955A1D" w:rsidP="00955A1D">
      <w:pPr>
        <w:pStyle w:val="Telobesedila"/>
      </w:pPr>
    </w:p>
    <w:p w14:paraId="3D3B3B3A" w14:textId="77777777" w:rsidR="00955A1D" w:rsidRPr="00E30B72" w:rsidRDefault="00955A1D" w:rsidP="00955A1D">
      <w:pPr>
        <w:pStyle w:val="Telobesedila"/>
        <w:jc w:val="left"/>
        <w:rPr>
          <w:sz w:val="16"/>
          <w:szCs w:val="16"/>
        </w:rPr>
      </w:pPr>
      <w:r w:rsidRPr="00E30B72">
        <w:rPr>
          <w:sz w:val="16"/>
          <w:szCs w:val="16"/>
        </w:rPr>
        <w:t>Opomba: * realna rast glede na indeks cen življenjskih potrebščin v obdobju januar - december 2023 v primerjavi z obdobjem januar - december 2022, ki je znašal 107,4 (vir: Statistični urad RS).</w:t>
      </w:r>
    </w:p>
    <w:p w14:paraId="245BFF15" w14:textId="77777777" w:rsidR="00955A1D" w:rsidRPr="00B97BAC" w:rsidRDefault="00955A1D" w:rsidP="00955A1D">
      <w:pPr>
        <w:pStyle w:val="Telobesedila"/>
      </w:pPr>
    </w:p>
    <w:p w14:paraId="78558864" w14:textId="77777777" w:rsidR="00955A1D" w:rsidRPr="00B97BAC" w:rsidRDefault="00955A1D" w:rsidP="00955A1D">
      <w:pPr>
        <w:pStyle w:val="Telobesedila"/>
      </w:pPr>
      <w:r w:rsidRPr="00B97BAC">
        <w:t xml:space="preserve">Podatke iz letnih poročil je predložilo tudi </w:t>
      </w:r>
      <w:r>
        <w:t>37</w:t>
      </w:r>
      <w:r w:rsidRPr="00B97BAC">
        <w:t xml:space="preserve"> zadrug (</w:t>
      </w:r>
      <w:r>
        <w:t>27</w:t>
      </w:r>
      <w:r w:rsidRPr="00B97BAC">
        <w:t xml:space="preserve"> </w:t>
      </w:r>
      <w:proofErr w:type="spellStart"/>
      <w:r w:rsidRPr="00B97BAC">
        <w:t>mikro</w:t>
      </w:r>
      <w:proofErr w:type="spellEnd"/>
      <w:r w:rsidRPr="00B97BAC">
        <w:t xml:space="preserve">, </w:t>
      </w:r>
      <w:r>
        <w:t>6</w:t>
      </w:r>
      <w:r w:rsidRPr="00B97BAC">
        <w:t xml:space="preserve"> majhnih in 4 srednje velike zadruge), ki so ustvarile </w:t>
      </w:r>
      <w:r>
        <w:t>184 milijonov</w:t>
      </w:r>
      <w:r w:rsidRPr="00B97BAC">
        <w:t xml:space="preserve"> evrov prihodkov in odhodkov. Prihodki zadrug so pomenili 1,</w:t>
      </w:r>
      <w:r>
        <w:t>9</w:t>
      </w:r>
      <w:r w:rsidRPr="00B97BAC">
        <w:t xml:space="preserve"> % prihodkov družb.</w:t>
      </w:r>
    </w:p>
    <w:p w14:paraId="045E5446" w14:textId="77777777" w:rsidR="00955A1D" w:rsidRPr="00B97BAC" w:rsidRDefault="00955A1D" w:rsidP="00955A1D">
      <w:pPr>
        <w:pStyle w:val="Telobesedila"/>
      </w:pPr>
    </w:p>
    <w:p w14:paraId="31D3C34B" w14:textId="77777777" w:rsidR="00955A1D" w:rsidRPr="00B97BAC" w:rsidRDefault="00955A1D" w:rsidP="00955A1D">
      <w:pPr>
        <w:pStyle w:val="Telobesedila"/>
      </w:pPr>
      <w:r w:rsidRPr="00B97BAC">
        <w:t xml:space="preserve">V zadrugah </w:t>
      </w:r>
      <w:r>
        <w:t>je bilo 317 zaposlenih</w:t>
      </w:r>
      <w:r w:rsidRPr="00B97BAC">
        <w:t xml:space="preserve">, </w:t>
      </w:r>
      <w:r>
        <w:t>3</w:t>
      </w:r>
      <w:r w:rsidRPr="00B97BAC">
        <w:t xml:space="preserve"> več </w:t>
      </w:r>
      <w:r>
        <w:t>kot</w:t>
      </w:r>
      <w:r w:rsidRPr="00B97BAC">
        <w:t xml:space="preserve"> v letu 20</w:t>
      </w:r>
      <w:r>
        <w:t>22, kar predstavlja</w:t>
      </w:r>
      <w:r w:rsidRPr="00B97BAC">
        <w:t xml:space="preserve"> </w:t>
      </w:r>
      <w:r>
        <w:t>0,7</w:t>
      </w:r>
      <w:r w:rsidRPr="00B97BAC">
        <w:t xml:space="preserve"> % zaposlenih v družbah. V letu 202</w:t>
      </w:r>
      <w:r>
        <w:t>3</w:t>
      </w:r>
      <w:r w:rsidRPr="00B97BAC">
        <w:t xml:space="preserve"> je čisti dobiček v znes</w:t>
      </w:r>
      <w:r>
        <w:t>k</w:t>
      </w:r>
      <w:r w:rsidRPr="00B97BAC">
        <w:t xml:space="preserve">u </w:t>
      </w:r>
      <w:r>
        <w:t>413</w:t>
      </w:r>
      <w:r w:rsidRPr="00B97BAC">
        <w:t xml:space="preserve"> tisoč evrov</w:t>
      </w:r>
      <w:r>
        <w:t>,  24 % manj kot v letu 2022,</w:t>
      </w:r>
      <w:r w:rsidRPr="00B97BAC">
        <w:t xml:space="preserve"> ugotovilo 2</w:t>
      </w:r>
      <w:r>
        <w:t>5</w:t>
      </w:r>
      <w:r w:rsidRPr="00B97BAC">
        <w:t xml:space="preserve"> zadrug. </w:t>
      </w:r>
      <w:r>
        <w:t>11</w:t>
      </w:r>
      <w:r w:rsidRPr="00B97BAC">
        <w:t xml:space="preserve"> zadrug je poslovalo negativno. Pridelale so </w:t>
      </w:r>
      <w:r>
        <w:t>407</w:t>
      </w:r>
      <w:r w:rsidRPr="00B97BAC">
        <w:t xml:space="preserve"> tisoč evrov čiste izgube, </w:t>
      </w:r>
      <w:r>
        <w:t>3,4 krat več</w:t>
      </w:r>
      <w:r w:rsidRPr="00B97BAC">
        <w:t xml:space="preserve"> kot </w:t>
      </w:r>
      <w:r>
        <w:t>v letu 2022</w:t>
      </w:r>
      <w:r w:rsidRPr="00B97BAC">
        <w:t>. Zadruge so poslovno leto zaključile</w:t>
      </w:r>
      <w:r>
        <w:t xml:space="preserve"> le</w:t>
      </w:r>
      <w:r w:rsidRPr="00B97BAC">
        <w:t xml:space="preserve"> s </w:t>
      </w:r>
      <w:r>
        <w:t>6</w:t>
      </w:r>
      <w:r w:rsidRPr="00B97BAC">
        <w:t xml:space="preserve"> tisoč evri neto čistega dobička. </w:t>
      </w:r>
    </w:p>
    <w:p w14:paraId="23F7E120" w14:textId="77777777" w:rsidR="00955A1D" w:rsidRPr="00B97BAC" w:rsidRDefault="00955A1D" w:rsidP="00955A1D">
      <w:pPr>
        <w:rPr>
          <w:lang w:val="sl-SI"/>
        </w:rPr>
      </w:pPr>
    </w:p>
    <w:p w14:paraId="77844A09" w14:textId="77777777" w:rsidR="00955A1D" w:rsidRPr="00B97BAC" w:rsidRDefault="00955A1D" w:rsidP="00955A1D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Calibri" w:hAnsi="Calibri" w:cs="Calibri"/>
          <w:b/>
          <w:bCs/>
          <w:color w:val="000000"/>
          <w:sz w:val="22"/>
          <w:szCs w:val="22"/>
          <w:lang w:val="sl-SI"/>
        </w:rPr>
      </w:pPr>
    </w:p>
    <w:p w14:paraId="29192B10" w14:textId="77777777" w:rsidR="00955A1D" w:rsidRPr="00B97BAC" w:rsidRDefault="00955A1D" w:rsidP="00955A1D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Calibri" w:hAnsi="Calibri" w:cs="Calibri"/>
          <w:b/>
          <w:bCs/>
          <w:color w:val="000000"/>
          <w:sz w:val="22"/>
          <w:szCs w:val="22"/>
          <w:lang w:val="sl-SI"/>
        </w:rPr>
      </w:pPr>
    </w:p>
    <w:p w14:paraId="417FA413" w14:textId="77777777" w:rsidR="00DF016A" w:rsidRDefault="00DF016A"/>
    <w:sectPr w:rsidR="00DF016A" w:rsidSect="005278A7">
      <w:footerReference w:type="default" r:id="rId5"/>
      <w:headerReference w:type="first" r:id="rId6"/>
      <w:footerReference w:type="first" r:id="rId7"/>
      <w:pgSz w:w="11900" w:h="16840"/>
      <w:pgMar w:top="851" w:right="1134" w:bottom="567" w:left="1134" w:header="850" w:footer="56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4508F" w14:textId="77777777" w:rsidR="00955A1D" w:rsidRPr="002575BD" w:rsidRDefault="00955A1D" w:rsidP="00346F4F">
    <w:pPr>
      <w:pStyle w:val="Noga"/>
      <w:tabs>
        <w:tab w:val="clear" w:pos="4680"/>
        <w:tab w:val="clear" w:pos="9360"/>
      </w:tabs>
      <w:jc w:val="center"/>
      <w:rPr>
        <w:rFonts w:cstheme="minorHAnsi"/>
        <w:caps/>
        <w:noProof/>
        <w:color w:val="4472C4" w:themeColor="accent1"/>
      </w:rPr>
    </w:pPr>
    <w:r w:rsidRPr="002575BD">
      <w:rPr>
        <w:rFonts w:cstheme="minorHAnsi"/>
        <w:caps/>
        <w:color w:val="4472C4" w:themeColor="accent1"/>
        <w:sz w:val="20"/>
        <w:szCs w:val="20"/>
      </w:rPr>
      <w:fldChar w:fldCharType="begin"/>
    </w:r>
    <w:r w:rsidRPr="002575BD">
      <w:rPr>
        <w:rFonts w:cstheme="minorHAnsi"/>
        <w:caps/>
        <w:color w:val="4472C4" w:themeColor="accent1"/>
        <w:sz w:val="20"/>
        <w:szCs w:val="20"/>
      </w:rPr>
      <w:instrText xml:space="preserve"> PAGE   \* MERGEFORMAT </w:instrText>
    </w:r>
    <w:r w:rsidRPr="002575BD">
      <w:rPr>
        <w:rFonts w:cstheme="minorHAnsi"/>
        <w:caps/>
        <w:color w:val="4472C4" w:themeColor="accent1"/>
        <w:sz w:val="20"/>
        <w:szCs w:val="20"/>
      </w:rPr>
      <w:fldChar w:fldCharType="separate"/>
    </w:r>
    <w:r w:rsidRPr="002575BD">
      <w:rPr>
        <w:rFonts w:cstheme="minorHAnsi"/>
        <w:caps/>
        <w:noProof/>
        <w:color w:val="4472C4" w:themeColor="accent1"/>
        <w:sz w:val="20"/>
        <w:szCs w:val="20"/>
      </w:rPr>
      <w:t>2</w:t>
    </w:r>
    <w:r w:rsidRPr="002575BD">
      <w:rPr>
        <w:rFonts w:cstheme="minorHAnsi"/>
        <w:caps/>
        <w:noProof/>
        <w:color w:val="4472C4" w:themeColor="accent1"/>
        <w:sz w:val="20"/>
        <w:szCs w:val="20"/>
      </w:rPr>
      <w:fldChar w:fldCharType="end"/>
    </w:r>
  </w:p>
  <w:p w14:paraId="2CE34DAD" w14:textId="77777777" w:rsidR="00955A1D" w:rsidRDefault="00955A1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FADCD" w14:textId="77777777" w:rsidR="00955A1D" w:rsidRDefault="00955A1D">
    <w:pPr>
      <w:pStyle w:val="Noga"/>
    </w:pPr>
    <w:r>
      <w:rPr>
        <w:noProof/>
        <w:lang w:eastAsia="en-US"/>
      </w:rPr>
      <w:drawing>
        <wp:inline distT="0" distB="0" distL="0" distR="0" wp14:anchorId="1D543BD5" wp14:editId="43882E00">
          <wp:extent cx="6116320" cy="3302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_dopisa_izpostava K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33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8C53D" w14:textId="77777777" w:rsidR="00955A1D" w:rsidRDefault="00955A1D" w:rsidP="0091533F">
    <w:pPr>
      <w:pStyle w:val="Glava"/>
    </w:pPr>
    <w:r>
      <w:rPr>
        <w:noProof/>
        <w:lang w:eastAsia="en-US"/>
      </w:rPr>
      <w:drawing>
        <wp:inline distT="0" distB="0" distL="0" distR="0" wp14:anchorId="715B661E" wp14:editId="5A69865B">
          <wp:extent cx="6116320" cy="6832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 pik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683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1D"/>
    <w:rsid w:val="00720CCA"/>
    <w:rsid w:val="00955A1D"/>
    <w:rsid w:val="009F585C"/>
    <w:rsid w:val="00DF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8C26"/>
  <w15:chartTrackingRefBased/>
  <w15:docId w15:val="{63F1B175-21F6-4A84-A334-7C51BE78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55A1D"/>
    <w:pPr>
      <w:spacing w:after="0" w:line="240" w:lineRule="auto"/>
    </w:pPr>
    <w:rPr>
      <w:rFonts w:eastAsiaTheme="minorEastAsia"/>
      <w:kern w:val="0"/>
      <w:sz w:val="24"/>
      <w:szCs w:val="24"/>
      <w:lang w:val="en-US" w:eastAsia="zh-CN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955A1D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rsid w:val="00955A1D"/>
    <w:rPr>
      <w:rFonts w:eastAsiaTheme="minorEastAsia"/>
      <w:kern w:val="0"/>
      <w:sz w:val="24"/>
      <w:szCs w:val="24"/>
      <w:lang w:val="en-US" w:eastAsia="zh-CN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955A1D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955A1D"/>
    <w:rPr>
      <w:rFonts w:eastAsiaTheme="minorEastAsia"/>
      <w:kern w:val="0"/>
      <w:sz w:val="24"/>
      <w:szCs w:val="24"/>
      <w:lang w:val="en-US" w:eastAsia="zh-CN"/>
      <w14:ligatures w14:val="none"/>
    </w:rPr>
  </w:style>
  <w:style w:type="paragraph" w:styleId="Telobesedila">
    <w:name w:val="Body Text"/>
    <w:basedOn w:val="Navaden"/>
    <w:link w:val="TelobesedilaZnak"/>
    <w:rsid w:val="00955A1D"/>
    <w:pPr>
      <w:spacing w:line="260" w:lineRule="atLeast"/>
      <w:jc w:val="both"/>
    </w:pPr>
    <w:rPr>
      <w:rFonts w:eastAsia="Times New Roman" w:cstheme="minorHAnsi"/>
      <w:sz w:val="22"/>
      <w:szCs w:val="22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955A1D"/>
    <w:rPr>
      <w:rFonts w:eastAsia="Times New Roman" w:cstheme="minorHAnsi"/>
      <w:kern w:val="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Lapuh</dc:creator>
  <cp:keywords/>
  <dc:description/>
  <cp:lastModifiedBy>Špela Lapuh</cp:lastModifiedBy>
  <cp:revision>1</cp:revision>
  <dcterms:created xsi:type="dcterms:W3CDTF">2024-05-14T12:46:00Z</dcterms:created>
  <dcterms:modified xsi:type="dcterms:W3CDTF">2024-05-14T12:47:00Z</dcterms:modified>
</cp:coreProperties>
</file>