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F15F8" w:rsidRDefault="009227F4">
      <w:pPr>
        <w:jc w:val="both"/>
        <w:rPr>
          <w:rFonts w:cs="Tahoma"/>
        </w:rPr>
      </w:pPr>
      <w:r>
        <w:rPr>
          <w:noProof/>
          <w:lang w:eastAsia="sl-SI"/>
        </w:rPr>
        <w:drawing>
          <wp:inline distT="0" distB="0" distL="0" distR="0" wp14:anchorId="7E24766A" wp14:editId="57DFCECC">
            <wp:extent cx="857250" cy="5048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anchor distT="0" distB="0" distL="114300" distR="114300" simplePos="0" relativeHeight="251657728" behindDoc="0" locked="0" layoutInCell="1" allowOverlap="1" wp14:anchorId="400D3F8D" wp14:editId="574BDD16">
            <wp:simplePos x="0" y="0"/>
            <wp:positionH relativeFrom="column">
              <wp:posOffset>4381500</wp:posOffset>
            </wp:positionH>
            <wp:positionV relativeFrom="paragraph">
              <wp:posOffset>10160</wp:posOffset>
            </wp:positionV>
            <wp:extent cx="2025015" cy="710565"/>
            <wp:effectExtent l="0" t="0" r="0" b="0"/>
            <wp:wrapNone/>
            <wp:docPr id="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710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5F8" w:rsidRDefault="00AF15F8">
      <w:pPr>
        <w:jc w:val="both"/>
        <w:rPr>
          <w:rFonts w:cs="Tahoma"/>
        </w:rPr>
      </w:pPr>
    </w:p>
    <w:p w:rsidR="00701F20" w:rsidRPr="00701F20" w:rsidRDefault="00345444" w:rsidP="00701F20">
      <w:pPr>
        <w:rPr>
          <w:rFonts w:cs="Tahoma"/>
          <w:b/>
          <w:color w:val="5C141F"/>
          <w:sz w:val="36"/>
          <w:szCs w:val="36"/>
        </w:rPr>
      </w:pPr>
      <w:r>
        <w:rPr>
          <w:rFonts w:cs="Tahoma"/>
          <w:b/>
          <w:color w:val="5C141F"/>
          <w:sz w:val="36"/>
          <w:szCs w:val="36"/>
        </w:rPr>
        <w:t>P</w:t>
      </w:r>
      <w:r w:rsidR="00F922AE">
        <w:rPr>
          <w:rFonts w:cs="Tahoma"/>
          <w:b/>
          <w:color w:val="5C141F"/>
          <w:sz w:val="36"/>
          <w:szCs w:val="36"/>
        </w:rPr>
        <w:t>roračun</w:t>
      </w:r>
      <w:r w:rsidR="009E7150">
        <w:rPr>
          <w:rFonts w:cs="Tahoma"/>
          <w:b/>
          <w:color w:val="5C141F"/>
          <w:sz w:val="36"/>
          <w:szCs w:val="36"/>
        </w:rPr>
        <w:t xml:space="preserve">ski presežek že v 2018, </w:t>
      </w:r>
      <w:r w:rsidR="00D20E2D">
        <w:rPr>
          <w:rFonts w:cs="Tahoma"/>
          <w:b/>
          <w:color w:val="5C141F"/>
          <w:sz w:val="36"/>
          <w:szCs w:val="36"/>
        </w:rPr>
        <w:t>pomanjkanje</w:t>
      </w:r>
      <w:r w:rsidR="003B7138">
        <w:rPr>
          <w:rFonts w:cs="Tahoma"/>
          <w:b/>
          <w:color w:val="5C141F"/>
          <w:sz w:val="36"/>
          <w:szCs w:val="36"/>
        </w:rPr>
        <w:t xml:space="preserve"> kadrov</w:t>
      </w:r>
      <w:r w:rsidR="009E7150">
        <w:rPr>
          <w:rFonts w:cs="Tahoma"/>
          <w:b/>
          <w:color w:val="5C141F"/>
          <w:sz w:val="36"/>
          <w:szCs w:val="36"/>
        </w:rPr>
        <w:t xml:space="preserve"> izziv</w:t>
      </w:r>
      <w:r w:rsidR="003B7138">
        <w:rPr>
          <w:rFonts w:cs="Tahoma"/>
          <w:b/>
          <w:color w:val="5C141F"/>
          <w:sz w:val="36"/>
          <w:szCs w:val="36"/>
        </w:rPr>
        <w:t xml:space="preserve"> </w:t>
      </w:r>
    </w:p>
    <w:p w:rsidR="00701F20" w:rsidRDefault="008D491F" w:rsidP="00701F20">
      <w:pPr>
        <w:jc w:val="both"/>
        <w:rPr>
          <w:rFonts w:cs="Tahoma"/>
          <w:b/>
          <w:i/>
          <w:color w:val="000000"/>
          <w:sz w:val="22"/>
        </w:rPr>
      </w:pPr>
      <w:r>
        <w:rPr>
          <w:rFonts w:cs="Tahoma"/>
          <w:sz w:val="16"/>
          <w:szCs w:val="16"/>
        </w:rPr>
        <w:t>19. 10</w:t>
      </w:r>
      <w:r w:rsidR="00701F20">
        <w:rPr>
          <w:rFonts w:cs="Tahoma"/>
          <w:sz w:val="16"/>
          <w:szCs w:val="16"/>
        </w:rPr>
        <w:t>. 2017</w:t>
      </w:r>
    </w:p>
    <w:p w:rsidR="005058C5" w:rsidRPr="005058C5" w:rsidRDefault="009E7150" w:rsidP="005058C5">
      <w:pPr>
        <w:jc w:val="both"/>
        <w:rPr>
          <w:b/>
          <w:i/>
          <w:sz w:val="22"/>
        </w:rPr>
      </w:pPr>
      <w:r>
        <w:rPr>
          <w:b/>
          <w:i/>
          <w:sz w:val="22"/>
        </w:rPr>
        <w:t>O</w:t>
      </w:r>
      <w:r w:rsidR="005058C5" w:rsidRPr="005058C5">
        <w:rPr>
          <w:b/>
          <w:i/>
          <w:sz w:val="22"/>
        </w:rPr>
        <w:t xml:space="preserve">snutek proračuna za leto 2018 </w:t>
      </w:r>
      <w:r>
        <w:rPr>
          <w:b/>
          <w:i/>
          <w:sz w:val="22"/>
        </w:rPr>
        <w:t xml:space="preserve">je </w:t>
      </w:r>
      <w:r w:rsidR="005058C5" w:rsidRPr="005058C5">
        <w:rPr>
          <w:b/>
          <w:i/>
          <w:sz w:val="22"/>
        </w:rPr>
        <w:t>dobro pripravljen: namesto 305 mio EUR primanjkljaja, kot je bilo prej predvideno, naj bi imeli celo presežek v višini 50 mio EUR.</w:t>
      </w:r>
      <w:r w:rsidR="005058C5">
        <w:rPr>
          <w:b/>
          <w:i/>
          <w:sz w:val="22"/>
        </w:rPr>
        <w:t xml:space="preserve"> Po</w:t>
      </w:r>
      <w:r w:rsidR="005058C5" w:rsidRPr="005058C5">
        <w:rPr>
          <w:b/>
          <w:i/>
          <w:sz w:val="22"/>
        </w:rPr>
        <w:t xml:space="preserve"> drugi strani naj bi za maso plač v sektorju država namenili 3 % več kot je bilo predvideno. S tem se </w:t>
      </w:r>
      <w:r>
        <w:rPr>
          <w:b/>
          <w:i/>
          <w:sz w:val="22"/>
        </w:rPr>
        <w:t xml:space="preserve">sicer nekoliko </w:t>
      </w:r>
      <w:r w:rsidR="005058C5" w:rsidRPr="005058C5">
        <w:rPr>
          <w:b/>
          <w:i/>
          <w:sz w:val="22"/>
        </w:rPr>
        <w:t xml:space="preserve">slabša struktura izdatkov, kar ne obeta zadostnih razvojnih sredstev. </w:t>
      </w:r>
      <w:r w:rsidR="003359A1">
        <w:rPr>
          <w:b/>
          <w:i/>
          <w:sz w:val="22"/>
        </w:rPr>
        <w:t>Zato priporočamo Vladi, da poskuša najti več sredstev v proračunu za razvojne namene.</w:t>
      </w:r>
    </w:p>
    <w:p w:rsidR="00B272E1" w:rsidRDefault="00F922AE" w:rsidP="005E747D">
      <w:pPr>
        <w:jc w:val="both"/>
        <w:rPr>
          <w:sz w:val="22"/>
        </w:rPr>
      </w:pPr>
      <w:r>
        <w:rPr>
          <w:sz w:val="22"/>
        </w:rPr>
        <w:t xml:space="preserve">Presežek </w:t>
      </w:r>
      <w:r w:rsidR="005058C5">
        <w:rPr>
          <w:sz w:val="22"/>
        </w:rPr>
        <w:t xml:space="preserve">v osnutku proračuna za leto 2018 </w:t>
      </w:r>
      <w:r>
        <w:rPr>
          <w:sz w:val="22"/>
        </w:rPr>
        <w:t xml:space="preserve">je predvsem posledica višjih pričakovanj glede davčnih prihodkov (+410 mio EUR) kot tudi podvojitve pričakovanj pri udeležbi pri dobičku državnih podjetij (+129 mio EUR). </w:t>
      </w:r>
      <w:r w:rsidR="009E7150">
        <w:rPr>
          <w:sz w:val="22"/>
        </w:rPr>
        <w:t xml:space="preserve">Glavnina dodatnih prihodkov bo sicer namenjena zniževanju primanjkljaja in zniževanju javnega dolga, kar pozdravljamo. </w:t>
      </w:r>
      <w:r w:rsidR="009E7150">
        <w:rPr>
          <w:sz w:val="22"/>
        </w:rPr>
        <w:t>Toda za plačilo blaga in storitev bomo namenili zgolj toliko kot v letu 2017, kar ne obeta zadostnih razvojnih sredstev za digitalizacijo širšega sektorja države in izboljšanje njene učinkovitosti za državljane in gospodarstvo.</w:t>
      </w:r>
    </w:p>
    <w:p w:rsidR="008D491F" w:rsidRPr="00B51F28" w:rsidRDefault="00B51F28" w:rsidP="005E747D">
      <w:pPr>
        <w:jc w:val="both"/>
        <w:rPr>
          <w:b/>
          <w:sz w:val="22"/>
        </w:rPr>
      </w:pPr>
      <w:r w:rsidRPr="00B51F28">
        <w:rPr>
          <w:b/>
          <w:sz w:val="22"/>
        </w:rPr>
        <w:t>Evropska ko</w:t>
      </w:r>
      <w:r w:rsidR="009E7150">
        <w:rPr>
          <w:b/>
          <w:sz w:val="22"/>
        </w:rPr>
        <w:t>misija: gospodarstvo na visokih obratih</w:t>
      </w:r>
    </w:p>
    <w:p w:rsidR="008D491F" w:rsidRDefault="003359A1" w:rsidP="005E747D">
      <w:pPr>
        <w:jc w:val="both"/>
        <w:rPr>
          <w:sz w:val="22"/>
        </w:rPr>
      </w:pPr>
      <w:r>
        <w:rPr>
          <w:sz w:val="22"/>
        </w:rPr>
        <w:t xml:space="preserve">Naše priporočilo vladi izhaja tudi iz ugotovitev </w:t>
      </w:r>
      <w:r w:rsidR="008D491F">
        <w:rPr>
          <w:sz w:val="22"/>
        </w:rPr>
        <w:t>Evropsk</w:t>
      </w:r>
      <w:r>
        <w:rPr>
          <w:sz w:val="22"/>
        </w:rPr>
        <w:t>e</w:t>
      </w:r>
      <w:r w:rsidR="008D491F">
        <w:rPr>
          <w:sz w:val="22"/>
        </w:rPr>
        <w:t xml:space="preserve"> komisij</w:t>
      </w:r>
      <w:r>
        <w:rPr>
          <w:sz w:val="22"/>
        </w:rPr>
        <w:t>e</w:t>
      </w:r>
      <w:r w:rsidR="008D491F">
        <w:rPr>
          <w:sz w:val="22"/>
        </w:rPr>
        <w:t xml:space="preserve">, </w:t>
      </w:r>
      <w:r w:rsidR="00EC2A9F">
        <w:rPr>
          <w:sz w:val="22"/>
        </w:rPr>
        <w:t>da naj bi se slovensko gospodarstvo že pregrevalo. V letu 2017 naj bi znašala proizvodna vrzel 1,5 % in v letu 2018 2,5 %. To pomeni, da naj bi se</w:t>
      </w:r>
      <w:r w:rsidR="002B7182">
        <w:rPr>
          <w:sz w:val="22"/>
        </w:rPr>
        <w:t xml:space="preserve"> slovensko gospodarstvo </w:t>
      </w:r>
      <w:r w:rsidR="00D777DB">
        <w:rPr>
          <w:sz w:val="22"/>
        </w:rPr>
        <w:t>nahajalo</w:t>
      </w:r>
      <w:r w:rsidR="00EC2A9F">
        <w:rPr>
          <w:sz w:val="22"/>
        </w:rPr>
        <w:t xml:space="preserve"> visoko v poslovnem ciklu, kar zahteva </w:t>
      </w:r>
      <w:r w:rsidR="009E7150">
        <w:rPr>
          <w:sz w:val="22"/>
        </w:rPr>
        <w:t xml:space="preserve">še nekoliko </w:t>
      </w:r>
      <w:r w:rsidR="00EC2A9F">
        <w:rPr>
          <w:sz w:val="22"/>
        </w:rPr>
        <w:t>večjo fiskalno konsolidacijo</w:t>
      </w:r>
      <w:r w:rsidR="005058C5">
        <w:rPr>
          <w:sz w:val="22"/>
        </w:rPr>
        <w:t>. V</w:t>
      </w:r>
      <w:r w:rsidR="00B51F28">
        <w:rPr>
          <w:sz w:val="22"/>
        </w:rPr>
        <w:t xml:space="preserve"> času visoke gospodarske rasti in davčnih prilivov </w:t>
      </w:r>
      <w:r w:rsidR="005058C5">
        <w:rPr>
          <w:sz w:val="22"/>
        </w:rPr>
        <w:t xml:space="preserve">je namreč potrebno </w:t>
      </w:r>
      <w:r w:rsidR="00B51F28">
        <w:rPr>
          <w:sz w:val="22"/>
        </w:rPr>
        <w:t xml:space="preserve">hitreje zniževati primanjkljaj </w:t>
      </w:r>
      <w:r w:rsidR="005058C5">
        <w:rPr>
          <w:sz w:val="22"/>
        </w:rPr>
        <w:t>in</w:t>
      </w:r>
      <w:r w:rsidR="00B51F28">
        <w:rPr>
          <w:sz w:val="22"/>
        </w:rPr>
        <w:t xml:space="preserve"> odplačevati javni dolg. </w:t>
      </w:r>
    </w:p>
    <w:p w:rsidR="003359A1" w:rsidRDefault="003359A1" w:rsidP="003359A1">
      <w:pPr>
        <w:jc w:val="both"/>
        <w:rPr>
          <w:sz w:val="22"/>
        </w:rPr>
      </w:pPr>
      <w:r>
        <w:rPr>
          <w:sz w:val="22"/>
        </w:rPr>
        <w:t xml:space="preserve">Medletna rast posojil gospodinjstvom je bila v avgustu 7,5-odstotna. Politika poceni denarja, ki jo ECB ohranja, in povprečna rast neto plače pri 2,3 % (v prvih osmih mesecih) spodbujata tudi hitro rast cen nepremičnin. Upoštevaje slabo razvit nepremičninski trg bi se lahko ti trendi še nadaljevali. </w:t>
      </w:r>
    </w:p>
    <w:p w:rsidR="002815B4" w:rsidRPr="002815B4" w:rsidRDefault="005058C5" w:rsidP="005E747D">
      <w:pPr>
        <w:jc w:val="both"/>
        <w:rPr>
          <w:b/>
          <w:sz w:val="22"/>
        </w:rPr>
      </w:pPr>
      <w:r>
        <w:rPr>
          <w:b/>
          <w:sz w:val="22"/>
        </w:rPr>
        <w:t>P</w:t>
      </w:r>
      <w:r w:rsidR="002815B4" w:rsidRPr="002815B4">
        <w:rPr>
          <w:b/>
          <w:sz w:val="22"/>
        </w:rPr>
        <w:t>rimanjkuje</w:t>
      </w:r>
      <w:r>
        <w:rPr>
          <w:b/>
          <w:sz w:val="22"/>
        </w:rPr>
        <w:t xml:space="preserve"> ustreznih kadrov</w:t>
      </w:r>
    </w:p>
    <w:p w:rsidR="005058C5" w:rsidRDefault="00EC2A9F" w:rsidP="005E747D">
      <w:pPr>
        <w:jc w:val="both"/>
        <w:rPr>
          <w:sz w:val="22"/>
        </w:rPr>
      </w:pPr>
      <w:r>
        <w:rPr>
          <w:sz w:val="22"/>
        </w:rPr>
        <w:t>Elementi gospodarske</w:t>
      </w:r>
      <w:r w:rsidR="00D777DB">
        <w:rPr>
          <w:sz w:val="22"/>
        </w:rPr>
        <w:t>ga</w:t>
      </w:r>
      <w:r>
        <w:rPr>
          <w:sz w:val="22"/>
        </w:rPr>
        <w:t xml:space="preserve"> pregrevanja, ki jih opažamo, so: rast zaposlovanja je že trčila ob zid razpoložljivega števila iskalcev dela. Delež podjetij, ki ne najde primernih zaposlenih</w:t>
      </w:r>
      <w:r w:rsidR="005058C5">
        <w:rPr>
          <w:sz w:val="22"/>
        </w:rPr>
        <w:t>,</w:t>
      </w:r>
      <w:r>
        <w:rPr>
          <w:sz w:val="22"/>
        </w:rPr>
        <w:t xml:space="preserve"> je že več kot tretjinski. Ob tem se je po letih krize (do 2013) povečala strukturna brezposelnost, kar pomeni, da je na Zavodu </w:t>
      </w:r>
      <w:r w:rsidR="00D777DB">
        <w:rPr>
          <w:sz w:val="22"/>
        </w:rPr>
        <w:t xml:space="preserve">RS </w:t>
      </w:r>
      <w:r>
        <w:rPr>
          <w:sz w:val="22"/>
        </w:rPr>
        <w:t xml:space="preserve">za zaposlovanja manjše število </w:t>
      </w:r>
      <w:r w:rsidR="00D777DB">
        <w:rPr>
          <w:sz w:val="22"/>
        </w:rPr>
        <w:t>oseb, ki so primerne ali motivirane</w:t>
      </w:r>
      <w:r>
        <w:rPr>
          <w:sz w:val="22"/>
        </w:rPr>
        <w:t xml:space="preserve"> za zaposlitev. </w:t>
      </w:r>
    </w:p>
    <w:p w:rsidR="002815B4" w:rsidRPr="002815B4" w:rsidRDefault="003359A1" w:rsidP="005E747D">
      <w:pPr>
        <w:jc w:val="both"/>
        <w:rPr>
          <w:b/>
          <w:sz w:val="22"/>
        </w:rPr>
      </w:pPr>
      <w:r>
        <w:rPr>
          <w:b/>
          <w:sz w:val="22"/>
        </w:rPr>
        <w:t>Neskladje na trgu dela</w:t>
      </w:r>
    </w:p>
    <w:p w:rsidR="00B272E1" w:rsidRDefault="003359A1" w:rsidP="005E747D">
      <w:pPr>
        <w:jc w:val="both"/>
        <w:rPr>
          <w:sz w:val="22"/>
        </w:rPr>
      </w:pPr>
      <w:r>
        <w:rPr>
          <w:sz w:val="22"/>
        </w:rPr>
        <w:t>V</w:t>
      </w:r>
      <w:r w:rsidR="002815B4">
        <w:rPr>
          <w:sz w:val="22"/>
        </w:rPr>
        <w:t xml:space="preserve"> času visoke gospodarske rasti </w:t>
      </w:r>
      <w:r>
        <w:rPr>
          <w:sz w:val="22"/>
        </w:rPr>
        <w:t xml:space="preserve">bi bilo priporočljivo </w:t>
      </w:r>
      <w:r w:rsidR="002815B4">
        <w:rPr>
          <w:sz w:val="22"/>
        </w:rPr>
        <w:t>temeljiteje nasloviti demografske izziv</w:t>
      </w:r>
      <w:r w:rsidR="007D77CA">
        <w:rPr>
          <w:sz w:val="22"/>
        </w:rPr>
        <w:t>e. Staranje prebivalstva po</w:t>
      </w:r>
      <w:r w:rsidR="002815B4">
        <w:rPr>
          <w:sz w:val="22"/>
        </w:rPr>
        <w:t>več</w:t>
      </w:r>
      <w:r w:rsidR="007D77CA">
        <w:rPr>
          <w:sz w:val="22"/>
        </w:rPr>
        <w:t>u</w:t>
      </w:r>
      <w:r w:rsidR="002815B4">
        <w:rPr>
          <w:sz w:val="22"/>
        </w:rPr>
        <w:t xml:space="preserve">je pritiske na </w:t>
      </w:r>
      <w:r w:rsidR="009E7150">
        <w:rPr>
          <w:sz w:val="22"/>
        </w:rPr>
        <w:t>nižje število delovno aktivnih</w:t>
      </w:r>
      <w:r w:rsidR="002815B4">
        <w:rPr>
          <w:sz w:val="22"/>
        </w:rPr>
        <w:t xml:space="preserve">, ki </w:t>
      </w:r>
      <w:r w:rsidR="007D77CA">
        <w:rPr>
          <w:sz w:val="22"/>
        </w:rPr>
        <w:t>bodo s plačevanjem dajatev</w:t>
      </w:r>
      <w:r w:rsidR="002815B4">
        <w:rPr>
          <w:sz w:val="22"/>
        </w:rPr>
        <w:t xml:space="preserve"> solidarnostno prispevali </w:t>
      </w:r>
      <w:r w:rsidR="009E7150">
        <w:rPr>
          <w:sz w:val="22"/>
        </w:rPr>
        <w:t xml:space="preserve">vse večji </w:t>
      </w:r>
      <w:r w:rsidR="002815B4">
        <w:rPr>
          <w:sz w:val="22"/>
        </w:rPr>
        <w:t xml:space="preserve">upokojenski generaciji. </w:t>
      </w:r>
      <w:r w:rsidR="00B272E1">
        <w:rPr>
          <w:sz w:val="22"/>
        </w:rPr>
        <w:t xml:space="preserve">Zgolj hitrejše zniževanje primanjkljaja ni edini element proti-ciklične politike, ki ga država lahko uporabi, pač pa so elementi le-te tudi naslavljanje neskladja med ponudbo in povpraševanjem na trgu dela, optimizacija javnih transferjev in njihova večja transparentnost, izboljšanje produktivnosti dela v sektorju država ter </w:t>
      </w:r>
      <w:r>
        <w:rPr>
          <w:sz w:val="22"/>
        </w:rPr>
        <w:t>ukrepi za več</w:t>
      </w:r>
      <w:r w:rsidR="00D20E2D">
        <w:rPr>
          <w:sz w:val="22"/>
        </w:rPr>
        <w:t>je</w:t>
      </w:r>
      <w:r>
        <w:rPr>
          <w:sz w:val="22"/>
        </w:rPr>
        <w:t xml:space="preserve"> </w:t>
      </w:r>
      <w:r w:rsidR="00D20E2D">
        <w:rPr>
          <w:sz w:val="22"/>
        </w:rPr>
        <w:t>zaposlovanje</w:t>
      </w:r>
      <w:r w:rsidR="00B272E1">
        <w:rPr>
          <w:sz w:val="22"/>
        </w:rPr>
        <w:t xml:space="preserve"> </w:t>
      </w:r>
      <w:r>
        <w:rPr>
          <w:sz w:val="22"/>
        </w:rPr>
        <w:t xml:space="preserve">v </w:t>
      </w:r>
      <w:r w:rsidR="00B272E1">
        <w:rPr>
          <w:sz w:val="22"/>
        </w:rPr>
        <w:t>zasebn</w:t>
      </w:r>
      <w:r>
        <w:rPr>
          <w:sz w:val="22"/>
        </w:rPr>
        <w:t>em</w:t>
      </w:r>
      <w:r w:rsidR="00B272E1">
        <w:rPr>
          <w:sz w:val="22"/>
        </w:rPr>
        <w:t xml:space="preserve"> sektor</w:t>
      </w:r>
      <w:r>
        <w:rPr>
          <w:sz w:val="22"/>
        </w:rPr>
        <w:t>ju</w:t>
      </w:r>
      <w:r w:rsidR="00B272E1">
        <w:rPr>
          <w:sz w:val="22"/>
        </w:rPr>
        <w:t xml:space="preserve">. </w:t>
      </w:r>
      <w:r w:rsidR="009E7150">
        <w:rPr>
          <w:sz w:val="22"/>
        </w:rPr>
        <w:t>Prepričani smo, da je zdaj primeren čas, da kot družba racionalno naslovimo te izzive</w:t>
      </w:r>
      <w:r w:rsidR="00D20E2D">
        <w:rPr>
          <w:sz w:val="22"/>
        </w:rPr>
        <w:t>.</w:t>
      </w:r>
    </w:p>
    <w:p w:rsidR="00D20E2D" w:rsidRDefault="00D20E2D" w:rsidP="005E747D">
      <w:pPr>
        <w:jc w:val="both"/>
        <w:rPr>
          <w:sz w:val="22"/>
        </w:rPr>
      </w:pPr>
      <w:bookmarkStart w:id="0" w:name="_GoBack"/>
      <w:bookmarkEnd w:id="0"/>
    </w:p>
    <w:p w:rsidR="00AF15F8" w:rsidRDefault="009227F4">
      <w:r>
        <w:rPr>
          <w:noProof/>
          <w:lang w:eastAsia="sl-SI"/>
        </w:rPr>
        <w:drawing>
          <wp:inline distT="0" distB="0" distL="0" distR="0" wp14:anchorId="146D7F2B" wp14:editId="47B456DC">
            <wp:extent cx="1685925" cy="5238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15F8">
      <w:pgSz w:w="11906" w:h="16838"/>
      <w:pgMar w:top="909" w:right="910" w:bottom="910" w:left="1116" w:header="720" w:footer="720" w:gutter="0"/>
      <w:pgBorders>
        <w:top w:val="single" w:sz="4" w:space="20" w:color="800000"/>
        <w:left w:val="single" w:sz="4" w:space="21" w:color="800000"/>
        <w:bottom w:val="single" w:sz="4" w:space="21" w:color="800000"/>
        <w:right w:val="single" w:sz="4" w:space="31" w:color="800000"/>
      </w:pgBorders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297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B550E19"/>
    <w:multiLevelType w:val="hybridMultilevel"/>
    <w:tmpl w:val="0D945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D7369"/>
    <w:multiLevelType w:val="hybridMultilevel"/>
    <w:tmpl w:val="8A685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20"/>
    <w:rsid w:val="00052CE7"/>
    <w:rsid w:val="000F4348"/>
    <w:rsid w:val="00154539"/>
    <w:rsid w:val="001858E6"/>
    <w:rsid w:val="001D29EC"/>
    <w:rsid w:val="00236615"/>
    <w:rsid w:val="002815B4"/>
    <w:rsid w:val="00295A41"/>
    <w:rsid w:val="002B7182"/>
    <w:rsid w:val="00320B8E"/>
    <w:rsid w:val="003359A1"/>
    <w:rsid w:val="00336B98"/>
    <w:rsid w:val="00345444"/>
    <w:rsid w:val="003B7138"/>
    <w:rsid w:val="0041168A"/>
    <w:rsid w:val="005058C5"/>
    <w:rsid w:val="00592175"/>
    <w:rsid w:val="005D3FCE"/>
    <w:rsid w:val="005E747D"/>
    <w:rsid w:val="00600C8C"/>
    <w:rsid w:val="00605D69"/>
    <w:rsid w:val="006168B5"/>
    <w:rsid w:val="00701F20"/>
    <w:rsid w:val="007865B3"/>
    <w:rsid w:val="007C1658"/>
    <w:rsid w:val="007C28B3"/>
    <w:rsid w:val="007D04E1"/>
    <w:rsid w:val="007D77CA"/>
    <w:rsid w:val="008D491F"/>
    <w:rsid w:val="009227F4"/>
    <w:rsid w:val="009E7150"/>
    <w:rsid w:val="00A277FA"/>
    <w:rsid w:val="00A81674"/>
    <w:rsid w:val="00AF15F8"/>
    <w:rsid w:val="00AF53AB"/>
    <w:rsid w:val="00B272E1"/>
    <w:rsid w:val="00B51F28"/>
    <w:rsid w:val="00C140D8"/>
    <w:rsid w:val="00D20E2D"/>
    <w:rsid w:val="00D777DB"/>
    <w:rsid w:val="00D904BE"/>
    <w:rsid w:val="00DA3F20"/>
    <w:rsid w:val="00E16815"/>
    <w:rsid w:val="00E56182"/>
    <w:rsid w:val="00EC2A9F"/>
    <w:rsid w:val="00EE2588"/>
    <w:rsid w:val="00F922AE"/>
    <w:rsid w:val="00FE068D"/>
    <w:rsid w:val="00FE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3C0225C-737F-434A-A968-FF940587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uppressAutoHyphens/>
      <w:spacing w:after="90"/>
    </w:pPr>
    <w:rPr>
      <w:rFonts w:ascii="Tahoma" w:hAnsi="Tahoma"/>
      <w:sz w:val="24"/>
      <w:szCs w:val="24"/>
      <w:lang w:eastAsia="ar-SA"/>
    </w:rPr>
  </w:style>
  <w:style w:type="paragraph" w:styleId="Naslov1">
    <w:name w:val="heading 1"/>
    <w:basedOn w:val="Navaden"/>
    <w:next w:val="Telobesedila"/>
    <w:qFormat/>
    <w:pPr>
      <w:numPr>
        <w:numId w:val="1"/>
      </w:numPr>
      <w:spacing w:before="360" w:after="270"/>
      <w:outlineLvl w:val="0"/>
    </w:pPr>
    <w:rPr>
      <w:rFonts w:cs="Tahoma"/>
      <w:b/>
      <w:color w:val="99CC00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customStyle="1" w:styleId="Naslov1Znak">
    <w:name w:val="Naslov 1 Znak"/>
    <w:rPr>
      <w:rFonts w:ascii="Cambria" w:hAnsi="Cambria" w:cs="font297"/>
      <w:b/>
      <w:bCs/>
      <w:kern w:val="1"/>
      <w:sz w:val="32"/>
      <w:szCs w:val="32"/>
    </w:rPr>
  </w:style>
  <w:style w:type="character" w:customStyle="1" w:styleId="GlavaZnak">
    <w:name w:val="Glava Znak"/>
    <w:rPr>
      <w:rFonts w:ascii="Tahoma" w:hAnsi="Tahoma"/>
      <w:sz w:val="24"/>
      <w:szCs w:val="24"/>
    </w:rPr>
  </w:style>
  <w:style w:type="character" w:customStyle="1" w:styleId="NogaZnak">
    <w:name w:val="Noga Znak"/>
    <w:rPr>
      <w:rFonts w:ascii="Tahoma" w:hAnsi="Tahoma"/>
      <w:sz w:val="24"/>
      <w:szCs w:val="24"/>
    </w:rPr>
  </w:style>
  <w:style w:type="character" w:customStyle="1" w:styleId="tevilkastrani1">
    <w:name w:val="Številka strani1"/>
    <w:rPr>
      <w:rFonts w:cs="Times New Roman"/>
    </w:rPr>
  </w:style>
  <w:style w:type="character" w:customStyle="1" w:styleId="TAJDAPELICON">
    <w:name w:val="TAJDA PELICON"/>
    <w:rPr>
      <w:rFonts w:ascii="Arial" w:hAnsi="Arial"/>
      <w:color w:val="000080"/>
      <w:sz w:val="20"/>
    </w:rPr>
  </w:style>
  <w:style w:type="character" w:styleId="Hiperpovezava">
    <w:name w:val="Hyperlink"/>
    <w:rPr>
      <w:rFonts w:cs="Times New Roman"/>
      <w:color w:val="0000FF"/>
      <w:u w:val="single"/>
    </w:rPr>
  </w:style>
  <w:style w:type="character" w:customStyle="1" w:styleId="st">
    <w:name w:val="st"/>
    <w:rPr>
      <w:rFonts w:cs="Times New Roman"/>
    </w:rPr>
  </w:style>
  <w:style w:type="character" w:styleId="Poudarek">
    <w:name w:val="Emphasis"/>
    <w:qFormat/>
    <w:rPr>
      <w:rFonts w:cs="Times New Roman"/>
      <w:i/>
      <w:iCs/>
    </w:rPr>
  </w:style>
  <w:style w:type="character" w:customStyle="1" w:styleId="GolobesediloZnak">
    <w:name w:val="Golo besedilo Znak"/>
    <w:rPr>
      <w:rFonts w:ascii="Calibri" w:eastAsia="Times New Roman" w:hAnsi="Calibri" w:cs="Times New Roman"/>
      <w:sz w:val="21"/>
      <w:szCs w:val="21"/>
    </w:rPr>
  </w:style>
  <w:style w:type="character" w:customStyle="1" w:styleId="BesedilooblakaZnak">
    <w:name w:val="Besedilo oblačka Znak"/>
    <w:rPr>
      <w:rFonts w:ascii="Segoe UI" w:hAnsi="Segoe UI" w:cs="Segoe UI"/>
      <w:sz w:val="18"/>
      <w:szCs w:val="18"/>
    </w:rPr>
  </w:style>
  <w:style w:type="character" w:customStyle="1" w:styleId="Pripombasklic1">
    <w:name w:val="Pripomba – sklic1"/>
    <w:rPr>
      <w:sz w:val="16"/>
      <w:szCs w:val="16"/>
    </w:rPr>
  </w:style>
  <w:style w:type="character" w:customStyle="1" w:styleId="PripombabesediloZnak">
    <w:name w:val="Pripomba – besedilo Znak"/>
    <w:rPr>
      <w:rFonts w:ascii="Tahoma" w:hAnsi="Tahoma"/>
      <w:sz w:val="20"/>
      <w:szCs w:val="20"/>
    </w:rPr>
  </w:style>
  <w:style w:type="character" w:customStyle="1" w:styleId="ZadevapripombeZnak">
    <w:name w:val="Zadeva pripombe Znak"/>
    <w:rPr>
      <w:rFonts w:ascii="Tahoma" w:hAnsi="Tahoma"/>
      <w:b/>
      <w:bCs/>
      <w:sz w:val="20"/>
      <w:szCs w:val="20"/>
    </w:rPr>
  </w:style>
  <w:style w:type="character" w:customStyle="1" w:styleId="apple-converted-space">
    <w:name w:val="apple-converted-space"/>
    <w:basedOn w:val="Privzetapisavaodstavka1"/>
  </w:style>
  <w:style w:type="character" w:styleId="Krepko">
    <w:name w:val="Strong"/>
    <w:qFormat/>
    <w:rPr>
      <w:b/>
      <w:bCs/>
    </w:rPr>
  </w:style>
  <w:style w:type="character" w:customStyle="1" w:styleId="lexitem">
    <w:name w:val="lexitem"/>
    <w:basedOn w:val="Privzetapisavaodstavka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Oznake">
    <w:name w:val="Oznake"/>
    <w:rPr>
      <w:rFonts w:ascii="OpenSymbol" w:eastAsia="OpenSymbol" w:hAnsi="OpenSymbol" w:cs="OpenSymbol"/>
    </w:rPr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styleId="Glava">
    <w:name w:val="header"/>
    <w:basedOn w:val="Navaden"/>
    <w:pPr>
      <w:suppressLineNumbers/>
      <w:tabs>
        <w:tab w:val="center" w:pos="4153"/>
        <w:tab w:val="right" w:pos="8306"/>
      </w:tabs>
    </w:pPr>
  </w:style>
  <w:style w:type="paragraph" w:styleId="Noga">
    <w:name w:val="footer"/>
    <w:basedOn w:val="Navaden"/>
    <w:pPr>
      <w:suppressLineNumbers/>
      <w:tabs>
        <w:tab w:val="center" w:pos="4153"/>
        <w:tab w:val="right" w:pos="8306"/>
      </w:tabs>
    </w:pPr>
  </w:style>
  <w:style w:type="paragraph" w:customStyle="1" w:styleId="Navadensplet1">
    <w:name w:val="Navaden (splet)1"/>
    <w:basedOn w:val="Navaden"/>
    <w:pPr>
      <w:spacing w:after="258" w:line="258" w:lineRule="atLeast"/>
      <w:jc w:val="both"/>
    </w:pPr>
    <w:rPr>
      <w:sz w:val="20"/>
      <w:szCs w:val="20"/>
    </w:rPr>
  </w:style>
  <w:style w:type="paragraph" w:customStyle="1" w:styleId="BasicParagraph">
    <w:name w:val="[Basic Paragraph]"/>
    <w:basedOn w:val="Navaden"/>
    <w:pPr>
      <w:spacing w:after="0" w:line="288" w:lineRule="auto"/>
    </w:pPr>
    <w:rPr>
      <w:rFonts w:ascii="Arial" w:hAnsi="Arial"/>
      <w:color w:val="000000"/>
      <w:lang w:val="en-GB"/>
    </w:rPr>
  </w:style>
  <w:style w:type="paragraph" w:customStyle="1" w:styleId="Golobesedilo1">
    <w:name w:val="Golo besedilo1"/>
    <w:basedOn w:val="Navaden"/>
    <w:pPr>
      <w:spacing w:after="0"/>
    </w:pPr>
    <w:rPr>
      <w:rFonts w:ascii="Calibri" w:hAnsi="Calibri"/>
      <w:sz w:val="22"/>
      <w:szCs w:val="21"/>
    </w:rPr>
  </w:style>
  <w:style w:type="paragraph" w:customStyle="1" w:styleId="Besedilooblaka1">
    <w:name w:val="Besedilo oblačka1"/>
    <w:basedOn w:val="Navaden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Pripombabesedilo1">
    <w:name w:val="Pripomba – besedilo1"/>
    <w:basedOn w:val="Navaden"/>
    <w:rPr>
      <w:sz w:val="20"/>
      <w:szCs w:val="20"/>
    </w:rPr>
  </w:style>
  <w:style w:type="paragraph" w:customStyle="1" w:styleId="Zadevapripombe1">
    <w:name w:val="Zadeva pripombe1"/>
    <w:basedOn w:val="Pripombabesedilo1"/>
    <w:rPr>
      <w:b/>
      <w:bCs/>
    </w:rPr>
  </w:style>
  <w:style w:type="paragraph" w:customStyle="1" w:styleId="Odstavekseznama1">
    <w:name w:val="Odstavek seznama1"/>
    <w:basedOn w:val="Navaden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1"/>
    <w:uiPriority w:val="99"/>
    <w:semiHidden/>
    <w:unhideWhenUsed/>
    <w:rsid w:val="00052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1">
    <w:name w:val="Besedilo oblačka Znak1"/>
    <w:link w:val="Besedilooblaka"/>
    <w:uiPriority w:val="99"/>
    <w:semiHidden/>
    <w:rsid w:val="00052CE7"/>
    <w:rPr>
      <w:rFonts w:ascii="Segoe UI" w:hAnsi="Segoe UI" w:cs="Segoe UI"/>
      <w:sz w:val="18"/>
      <w:szCs w:val="18"/>
      <w:lang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592175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semiHidden/>
    <w:unhideWhenUsed/>
    <w:rsid w:val="00592175"/>
    <w:rPr>
      <w:sz w:val="20"/>
      <w:szCs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semiHidden/>
    <w:rsid w:val="00592175"/>
    <w:rPr>
      <w:rFonts w:ascii="Tahoma" w:hAnsi="Tahoma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592175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592175"/>
    <w:rPr>
      <w:rFonts w:ascii="Tahoma" w:hAnsi="Tahoma"/>
      <w:b/>
      <w:bCs/>
      <w:lang w:eastAsia="ar-SA"/>
    </w:rPr>
  </w:style>
  <w:style w:type="paragraph" w:styleId="Odstavekseznama">
    <w:name w:val="List Paragraph"/>
    <w:basedOn w:val="Navaden"/>
    <w:uiPriority w:val="34"/>
    <w:qFormat/>
    <w:rsid w:val="005E747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Revizija">
    <w:name w:val="Revision"/>
    <w:hidden/>
    <w:uiPriority w:val="99"/>
    <w:semiHidden/>
    <w:rsid w:val="006168B5"/>
    <w:rPr>
      <w:rFonts w:ascii="Tahoma" w:hAnsi="Tahom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Tajda Pelicon</cp:lastModifiedBy>
  <cp:revision>5</cp:revision>
  <cp:lastPrinted>2016-02-04T12:34:00Z</cp:lastPrinted>
  <dcterms:created xsi:type="dcterms:W3CDTF">2017-10-19T13:12:00Z</dcterms:created>
  <dcterms:modified xsi:type="dcterms:W3CDTF">2017-10-19T13:36:00Z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Gospodarska Zbornica Slovenije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