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70" w:rsidRPr="0046212B" w:rsidRDefault="00766225" w:rsidP="00B4378C">
      <w:pPr>
        <w:jc w:val="both"/>
        <w:rPr>
          <w:rFonts w:cs="Tahoma"/>
        </w:rPr>
      </w:pPr>
      <w:r w:rsidRPr="0046212B">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449070" cy="8667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12B">
        <w:rPr>
          <w:noProof/>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0</wp:posOffset>
            </wp:positionV>
            <wp:extent cx="1483995" cy="600710"/>
            <wp:effectExtent l="0" t="0" r="1905"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99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4DE" w:rsidRPr="0046212B">
        <w:rPr>
          <w:rFonts w:cs="Tahoma"/>
        </w:rPr>
        <w:t xml:space="preserve"> </w:t>
      </w:r>
    </w:p>
    <w:p w:rsidR="00CA7BC0" w:rsidRPr="0046212B" w:rsidRDefault="00CA7BC0" w:rsidP="00B4378C">
      <w:pPr>
        <w:jc w:val="both"/>
        <w:rPr>
          <w:rFonts w:cs="Tahoma"/>
        </w:rPr>
      </w:pPr>
    </w:p>
    <w:p w:rsidR="002354DE" w:rsidRPr="0046212B" w:rsidRDefault="002354DE" w:rsidP="00B4378C">
      <w:pPr>
        <w:jc w:val="both"/>
        <w:rPr>
          <w:rFonts w:cs="Tahoma"/>
        </w:rPr>
      </w:pPr>
    </w:p>
    <w:p w:rsidR="00BA68B6" w:rsidRPr="00BA68B6" w:rsidRDefault="00BA68B6" w:rsidP="00BA68B6">
      <w:pPr>
        <w:rPr>
          <w:b/>
          <w:color w:val="0070C0"/>
        </w:rPr>
      </w:pPr>
      <w:r w:rsidRPr="00BA68B6">
        <w:rPr>
          <w:b/>
          <w:color w:val="5289CC"/>
          <w:sz w:val="28"/>
          <w:szCs w:val="28"/>
        </w:rPr>
        <w:t>Olajšave R&amp;R: četrto mnenje je samo prvi korak</w:t>
      </w:r>
    </w:p>
    <w:p w:rsidR="006F1F66" w:rsidRPr="0046212B" w:rsidRDefault="00D4712E" w:rsidP="00B4378C">
      <w:pPr>
        <w:jc w:val="both"/>
      </w:pPr>
      <w:r>
        <w:t>20</w:t>
      </w:r>
      <w:r w:rsidR="00DF629A" w:rsidRPr="0046212B">
        <w:t>.</w:t>
      </w:r>
      <w:r w:rsidR="0046212B">
        <w:t>1</w:t>
      </w:r>
      <w:r w:rsidR="00616F11">
        <w:t>0</w:t>
      </w:r>
      <w:r w:rsidR="008A0DFE" w:rsidRPr="0046212B">
        <w:t>.</w:t>
      </w:r>
      <w:r w:rsidR="006F1F66" w:rsidRPr="0046212B">
        <w:t>201</w:t>
      </w:r>
      <w:r w:rsidR="00A47A49">
        <w:t>6</w:t>
      </w:r>
    </w:p>
    <w:p w:rsidR="00BA68B6" w:rsidRDefault="00BA68B6" w:rsidP="008A5816">
      <w:pPr>
        <w:spacing w:after="0"/>
        <w:rPr>
          <w:b/>
          <w:sz w:val="22"/>
        </w:rPr>
      </w:pPr>
      <w:r w:rsidRPr="008A5816">
        <w:rPr>
          <w:b/>
          <w:sz w:val="22"/>
        </w:rPr>
        <w:t xml:space="preserve">Po objavi četrtega mnenja so nujne še spremembe zakonodaje in smernice za večjo davčno predvidljivost. </w:t>
      </w:r>
    </w:p>
    <w:p w:rsidR="008A5816" w:rsidRPr="008A5816" w:rsidRDefault="008A5816" w:rsidP="008A5816">
      <w:pPr>
        <w:spacing w:after="0"/>
        <w:rPr>
          <w:b/>
          <w:sz w:val="22"/>
        </w:rPr>
      </w:pPr>
    </w:p>
    <w:p w:rsidR="00BA68B6" w:rsidRDefault="00BA68B6" w:rsidP="008A5816">
      <w:pPr>
        <w:spacing w:after="0"/>
        <w:jc w:val="both"/>
        <w:rPr>
          <w:sz w:val="22"/>
        </w:rPr>
      </w:pPr>
      <w:r w:rsidRPr="008A5816">
        <w:rPr>
          <w:sz w:val="22"/>
        </w:rPr>
        <w:t xml:space="preserve">Finančna uprava RS (FURS) je pred nekaj meseci pričela s sistematičnim, vendar po naših informacij dokaj formalističnim nadzorom nad upravičenci do olajšave za </w:t>
      </w:r>
      <w:r w:rsidR="00527252" w:rsidRPr="008A5816">
        <w:rPr>
          <w:sz w:val="22"/>
        </w:rPr>
        <w:t xml:space="preserve">razvoj </w:t>
      </w:r>
      <w:r w:rsidRPr="008A5816">
        <w:rPr>
          <w:sz w:val="22"/>
        </w:rPr>
        <w:t xml:space="preserve">in </w:t>
      </w:r>
      <w:r w:rsidR="00527252" w:rsidRPr="008A5816">
        <w:rPr>
          <w:sz w:val="22"/>
        </w:rPr>
        <w:t xml:space="preserve">raziskave </w:t>
      </w:r>
      <w:r w:rsidRPr="008A5816">
        <w:rPr>
          <w:sz w:val="22"/>
        </w:rPr>
        <w:t xml:space="preserve">(R&amp;R). Lestvico je postavila tako visoko, da z nadaljevanjem svoje R&amp;R dejavnosti tvegajo kazni tudi takšna slovenska podjetja, ki so sicer paradni konji na področju </w:t>
      </w:r>
      <w:r w:rsidR="00527252" w:rsidRPr="008A5816">
        <w:rPr>
          <w:sz w:val="22"/>
        </w:rPr>
        <w:t xml:space="preserve">razvoja </w:t>
      </w:r>
      <w:r w:rsidRPr="008A5816">
        <w:rPr>
          <w:sz w:val="22"/>
        </w:rPr>
        <w:t>in</w:t>
      </w:r>
      <w:r w:rsidR="00527252" w:rsidRPr="008A5816">
        <w:rPr>
          <w:sz w:val="22"/>
        </w:rPr>
        <w:t xml:space="preserve"> raziskav</w:t>
      </w:r>
      <w:r w:rsidRPr="008A5816">
        <w:rPr>
          <w:sz w:val="22"/>
        </w:rPr>
        <w:t xml:space="preserve">.  </w:t>
      </w:r>
    </w:p>
    <w:p w:rsidR="008A5816" w:rsidRPr="008A5816" w:rsidRDefault="008A5816" w:rsidP="008A5816">
      <w:pPr>
        <w:spacing w:after="0"/>
        <w:jc w:val="both"/>
        <w:rPr>
          <w:sz w:val="22"/>
        </w:rPr>
      </w:pPr>
    </w:p>
    <w:p w:rsidR="00BA68B6" w:rsidRDefault="00BA68B6" w:rsidP="008A5816">
      <w:pPr>
        <w:spacing w:after="0"/>
        <w:jc w:val="both"/>
        <w:rPr>
          <w:sz w:val="22"/>
        </w:rPr>
      </w:pPr>
      <w:r w:rsidRPr="008A5816">
        <w:rPr>
          <w:sz w:val="22"/>
        </w:rPr>
        <w:t xml:space="preserve">Na Gospodarski zbornici Sloveniji (GZS) smo kmalu po začetku nadzorstvenih postopkov FURS začeli prejemati ostre odzive iz podjetij. Tako podjetja kot tudi na GZS smo bili upravičeno razočarani nad pristopom države, še bolj pa nad njenim (ne)poznavanjem sistema, načina izvajanja R&amp;R dejavnosti in časa, ki je potreben, da se razvoj ali raziskava realizira v določenem produktu ali storitvi. Skoraj nemogoče je </w:t>
      </w:r>
      <w:r w:rsidR="008A5816">
        <w:rPr>
          <w:sz w:val="22"/>
        </w:rPr>
        <w:t xml:space="preserve">namreč </w:t>
      </w:r>
      <w:r w:rsidRPr="008A5816">
        <w:rPr>
          <w:sz w:val="22"/>
        </w:rPr>
        <w:t xml:space="preserve">pričakovati, da se rezultat določenega razvoja ali raziskave pokaže že v istem ali pa v naslednjem letu, od kar se </w:t>
      </w:r>
      <w:r w:rsidR="008A5816">
        <w:rPr>
          <w:sz w:val="22"/>
        </w:rPr>
        <w:t>je razvoj ali raziskava začela.</w:t>
      </w:r>
    </w:p>
    <w:p w:rsidR="008A5816" w:rsidRPr="008A5816" w:rsidRDefault="008A5816" w:rsidP="008A5816">
      <w:pPr>
        <w:spacing w:after="0"/>
        <w:jc w:val="both"/>
        <w:rPr>
          <w:sz w:val="22"/>
        </w:rPr>
      </w:pPr>
    </w:p>
    <w:p w:rsidR="008A5816" w:rsidRDefault="008A5816" w:rsidP="008A5816">
      <w:pPr>
        <w:spacing w:after="0"/>
        <w:jc w:val="both"/>
        <w:rPr>
          <w:sz w:val="22"/>
        </w:rPr>
      </w:pPr>
      <w:r>
        <w:rPr>
          <w:sz w:val="22"/>
        </w:rPr>
        <w:t>M</w:t>
      </w:r>
      <w:r w:rsidR="00BA68B6" w:rsidRPr="008A5816">
        <w:rPr>
          <w:sz w:val="22"/>
        </w:rPr>
        <w:t>inistrstv</w:t>
      </w:r>
      <w:r>
        <w:rPr>
          <w:sz w:val="22"/>
        </w:rPr>
        <w:t>o</w:t>
      </w:r>
      <w:r w:rsidR="00BA68B6" w:rsidRPr="008A5816">
        <w:rPr>
          <w:sz w:val="22"/>
        </w:rPr>
        <w:t xml:space="preserve"> za gospodarski razvoj in tehnologijo (MGRT) </w:t>
      </w:r>
      <w:r>
        <w:rPr>
          <w:sz w:val="22"/>
        </w:rPr>
        <w:t>je včeraj objavilo dopolnjeno četrto mnenje o olajšavah za raziskave in razvoj (R&amp;R)</w:t>
      </w:r>
    </w:p>
    <w:p w:rsidR="00BA68B6" w:rsidRDefault="008A5816" w:rsidP="008A5816">
      <w:pPr>
        <w:spacing w:after="0"/>
        <w:jc w:val="both"/>
        <w:rPr>
          <w:sz w:val="22"/>
        </w:rPr>
      </w:pPr>
      <w:r>
        <w:rPr>
          <w:sz w:val="22"/>
        </w:rPr>
        <w:t>(</w:t>
      </w:r>
      <w:hyperlink r:id="rId9" w:history="1">
        <w:r w:rsidRPr="008A5816">
          <w:rPr>
            <w:rStyle w:val="Hiperpovezava"/>
            <w:sz w:val="22"/>
          </w:rPr>
          <w:t>http://www.mgrt.gov.si/fileadmin/mgrt.gov.si/pageuploads/DPK/splosno_mnenje_MGRT_o_davcnih_olajsavah_CETRTO_2016_POPRAVEK.pdf</w:t>
        </w:r>
      </w:hyperlink>
      <w:r>
        <w:rPr>
          <w:sz w:val="22"/>
        </w:rPr>
        <w:t>)</w:t>
      </w:r>
      <w:r w:rsidR="00BA68B6" w:rsidRPr="008A5816">
        <w:rPr>
          <w:sz w:val="22"/>
        </w:rPr>
        <w:t>.</w:t>
      </w:r>
      <w:r>
        <w:rPr>
          <w:sz w:val="22"/>
        </w:rPr>
        <w:t xml:space="preserve"> </w:t>
      </w:r>
      <w:r w:rsidR="00BA68B6" w:rsidRPr="008A5816">
        <w:rPr>
          <w:sz w:val="22"/>
        </w:rPr>
        <w:t xml:space="preserve">Kot je znano, je bilo četrto mnenje že objavljeno, ampak nato hitro umaknjeno. V vmesnem času smo na GZS sodelovali z MGRT s ciljem, da povečamo pravno varnost slovenskih podjetij, ki koristijo olajšave za R&amp;R, in sicer v usklajevanjih z ministrstvom za finance in FURS. Menimo, da je tudi dopolnjeno četrto mnenje </w:t>
      </w:r>
      <w:r w:rsidR="00527252" w:rsidRPr="008A5816">
        <w:rPr>
          <w:sz w:val="22"/>
        </w:rPr>
        <w:t xml:space="preserve">ta hip </w:t>
      </w:r>
      <w:r w:rsidR="00BA68B6" w:rsidRPr="008A5816">
        <w:rPr>
          <w:sz w:val="22"/>
        </w:rPr>
        <w:t xml:space="preserve">sprejemljivo. </w:t>
      </w:r>
    </w:p>
    <w:p w:rsidR="008A5816" w:rsidRPr="008A5816" w:rsidRDefault="008A5816" w:rsidP="008A5816">
      <w:pPr>
        <w:spacing w:after="0"/>
        <w:jc w:val="both"/>
        <w:rPr>
          <w:sz w:val="22"/>
        </w:rPr>
      </w:pPr>
    </w:p>
    <w:p w:rsidR="00BA68B6" w:rsidRPr="008A5816" w:rsidRDefault="00BA68B6" w:rsidP="008A5816">
      <w:pPr>
        <w:spacing w:after="0"/>
        <w:jc w:val="both"/>
        <w:rPr>
          <w:sz w:val="22"/>
        </w:rPr>
      </w:pPr>
      <w:r w:rsidRPr="008A5816">
        <w:rPr>
          <w:sz w:val="22"/>
        </w:rPr>
        <w:t xml:space="preserve">Hkrati smo zahtevali, da bodo pristojni organi: </w:t>
      </w:r>
    </w:p>
    <w:p w:rsidR="00527252" w:rsidRPr="008A5816" w:rsidRDefault="00BA68B6" w:rsidP="008A5816">
      <w:pPr>
        <w:pStyle w:val="Odstavekseznama"/>
        <w:numPr>
          <w:ilvl w:val="0"/>
          <w:numId w:val="11"/>
        </w:numPr>
        <w:jc w:val="both"/>
        <w:rPr>
          <w:rFonts w:ascii="Tahoma" w:hAnsi="Tahoma" w:cs="Tahoma"/>
        </w:rPr>
      </w:pPr>
      <w:r w:rsidRPr="008A5816">
        <w:rPr>
          <w:rFonts w:ascii="Tahoma" w:hAnsi="Tahoma" w:cs="Tahoma"/>
        </w:rPr>
        <w:t xml:space="preserve">v postopkih spoštovali zakonitost postopkov, vključno z načelom davčne gotovosti in ne bodo upoštevali podatkov, priporočil ali novih informacij, ki zavezancem niso bile in niso mogle biti znane; </w:t>
      </w:r>
    </w:p>
    <w:p w:rsidR="00527252" w:rsidRPr="008A5816" w:rsidRDefault="00527252" w:rsidP="008A5816">
      <w:pPr>
        <w:pStyle w:val="Odstavekseznama"/>
        <w:numPr>
          <w:ilvl w:val="0"/>
          <w:numId w:val="11"/>
        </w:numPr>
        <w:jc w:val="both"/>
        <w:rPr>
          <w:rFonts w:ascii="Tahoma" w:hAnsi="Tahoma" w:cs="Tahoma"/>
        </w:rPr>
      </w:pPr>
      <w:r w:rsidRPr="008A5816">
        <w:rPr>
          <w:rFonts w:ascii="Tahoma" w:hAnsi="Tahoma" w:cs="Tahoma"/>
          <w:lang w:eastAsia="en-US"/>
        </w:rPr>
        <w:t>pripravili in javno objavili kredibilno analiza stanja in učinkovitosti olajšav za R&amp;R;</w:t>
      </w:r>
    </w:p>
    <w:p w:rsidR="00BA68B6" w:rsidRPr="008A5816" w:rsidRDefault="00BA68B6" w:rsidP="008A5816">
      <w:pPr>
        <w:pStyle w:val="Odstavekseznama"/>
        <w:numPr>
          <w:ilvl w:val="0"/>
          <w:numId w:val="11"/>
        </w:numPr>
        <w:jc w:val="both"/>
        <w:rPr>
          <w:rFonts w:ascii="Tahoma" w:hAnsi="Tahoma" w:cs="Tahoma"/>
        </w:rPr>
      </w:pPr>
      <w:r w:rsidRPr="008A5816">
        <w:rPr>
          <w:rFonts w:ascii="Tahoma" w:hAnsi="Tahoma" w:cs="Tahoma"/>
        </w:rPr>
        <w:t>pripravili nujne spremembe zakonodajnega okvira, ki bodo odpravile nejasnosti in pomanjkljivosti in bodo</w:t>
      </w:r>
      <w:r w:rsidR="008A5816">
        <w:rPr>
          <w:rFonts w:ascii="Tahoma" w:hAnsi="Tahoma" w:cs="Tahoma"/>
        </w:rPr>
        <w:t xml:space="preserve"> vnaprej znane tudi zavezancem;</w:t>
      </w:r>
    </w:p>
    <w:p w:rsidR="00BA68B6" w:rsidRPr="008A5816" w:rsidRDefault="00BA68B6" w:rsidP="008A5816">
      <w:pPr>
        <w:pStyle w:val="Odstavekseznama"/>
        <w:numPr>
          <w:ilvl w:val="0"/>
          <w:numId w:val="11"/>
        </w:numPr>
        <w:jc w:val="both"/>
        <w:rPr>
          <w:rFonts w:ascii="Tahoma" w:hAnsi="Tahoma" w:cs="Tahoma"/>
        </w:rPr>
      </w:pPr>
      <w:r w:rsidRPr="008A5816">
        <w:rPr>
          <w:rFonts w:ascii="Tahoma" w:hAnsi="Tahoma" w:cs="Tahoma"/>
        </w:rPr>
        <w:t xml:space="preserve">pripravili smernice in priporočila dobre prakse za področje dejavnosti raziskav in razvoja. </w:t>
      </w:r>
    </w:p>
    <w:p w:rsidR="008A5816" w:rsidRDefault="008A5816" w:rsidP="008A5816">
      <w:pPr>
        <w:spacing w:after="0"/>
        <w:jc w:val="both"/>
        <w:rPr>
          <w:sz w:val="22"/>
        </w:rPr>
      </w:pPr>
    </w:p>
    <w:p w:rsidR="00BA68B6" w:rsidRPr="008A5816" w:rsidRDefault="00BA68B6" w:rsidP="008A5816">
      <w:pPr>
        <w:spacing w:after="0"/>
        <w:jc w:val="both"/>
        <w:rPr>
          <w:sz w:val="22"/>
        </w:rPr>
      </w:pPr>
      <w:r w:rsidRPr="008A5816">
        <w:rPr>
          <w:sz w:val="22"/>
        </w:rPr>
        <w:t>Takšna zagotovila smo s strani MGRT dobili, zato bomo v prihodnji tednih vztrajali pri njihovi uresničitvi. Istočasno pričakujemo, da bo FURS prilagodil svoje postopke zdajšnjim nejasnim razmeram, vse dokler ne bo uresničeno, kar je bilo poleg novega četrtega mnenja zagotovljeno s strani državnih organov.</w:t>
      </w:r>
    </w:p>
    <w:p w:rsidR="008A5816" w:rsidRDefault="008A5816" w:rsidP="008A5816">
      <w:pPr>
        <w:spacing w:after="0"/>
        <w:jc w:val="both"/>
        <w:rPr>
          <w:sz w:val="22"/>
        </w:rPr>
      </w:pPr>
    </w:p>
    <w:p w:rsidR="00BA68B6" w:rsidRPr="008A5816" w:rsidRDefault="00BA68B6" w:rsidP="008A5816">
      <w:pPr>
        <w:spacing w:after="0"/>
        <w:jc w:val="both"/>
        <w:rPr>
          <w:sz w:val="22"/>
        </w:rPr>
      </w:pPr>
      <w:r w:rsidRPr="008A5816">
        <w:rPr>
          <w:sz w:val="22"/>
        </w:rPr>
        <w:t xml:space="preserve">Podjetja so se v zadnjih mesecih soočala z močnimi pritiski države zaradi vlaganj v raziskave in razvoj in posledičnega koriščenja olajšave. Čeprav je znano in globalno podprto dejstvo, da spodbujanje vlaganj v </w:t>
      </w:r>
      <w:r w:rsidR="008A5816">
        <w:rPr>
          <w:sz w:val="22"/>
        </w:rPr>
        <w:t>R&amp;R</w:t>
      </w:r>
      <w:r w:rsidR="008A5816" w:rsidRPr="008A5816">
        <w:rPr>
          <w:sz w:val="22"/>
        </w:rPr>
        <w:t xml:space="preserve"> </w:t>
      </w:r>
      <w:r w:rsidRPr="008A5816">
        <w:rPr>
          <w:sz w:val="22"/>
        </w:rPr>
        <w:t xml:space="preserve">prinaša dolgoročno večjo konkurenčnost, smo na GZS začudeni ugotavljali, da nekateri predstavniki slovenskih oblasti očitno še vedno menijo, da takšne spodbude sploh niso koristne oziroma učinkovite. Slovenija bi kot malo gospodarstvo morala toliko bolj »staviti« na podjetja, ki izvajajo raziskovalno in razvojno dejavnost in tudi širše inovativne produkte in storitve. Zato bomo na GZS budno spremljali spreminjanje predpisov. </w:t>
      </w:r>
    </w:p>
    <w:p w:rsidR="008A5816" w:rsidRDefault="008A5816" w:rsidP="008A5816">
      <w:pPr>
        <w:spacing w:after="0"/>
        <w:jc w:val="both"/>
        <w:rPr>
          <w:sz w:val="22"/>
        </w:rPr>
      </w:pPr>
    </w:p>
    <w:p w:rsidR="00BA68B6" w:rsidRPr="008A5816" w:rsidRDefault="00BA68B6" w:rsidP="008A5816">
      <w:pPr>
        <w:spacing w:after="0"/>
        <w:jc w:val="both"/>
        <w:rPr>
          <w:b/>
          <w:i/>
          <w:sz w:val="22"/>
          <w:lang w:eastAsia="en-US"/>
        </w:rPr>
      </w:pPr>
      <w:r w:rsidRPr="008A5816">
        <w:rPr>
          <w:b/>
          <w:i/>
          <w:sz w:val="22"/>
        </w:rPr>
        <w:t>Samo Hribar Milič, generalni direktor GZS: »V interesu slovenskega gospodarstva je, da oblasti zasledujejo prvenstveno cilje spodbujanja hitrejšega razvoja, transparentnosti in davčne predvidljivosti. Enako tudi pri izvajanju nadzorov. Prednostni cilj nikakor ne sme biti polnjenje državne blagajne.«</w:t>
      </w:r>
      <w:bookmarkStart w:id="0" w:name="_GoBack"/>
      <w:bookmarkEnd w:id="0"/>
    </w:p>
    <w:p w:rsidR="00D14BAD" w:rsidRPr="008A5816" w:rsidRDefault="00D14BAD" w:rsidP="008A5816">
      <w:pPr>
        <w:spacing w:after="0"/>
        <w:jc w:val="both"/>
        <w:rPr>
          <w:rFonts w:cs="Tahoma"/>
          <w:b/>
          <w:i/>
          <w:sz w:val="22"/>
        </w:rPr>
      </w:pPr>
    </w:p>
    <w:sectPr w:rsidR="00D14BAD" w:rsidRPr="008A5816" w:rsidSect="00D144D0">
      <w:pgSz w:w="11906" w:h="16838"/>
      <w:pgMar w:top="899" w:right="1106" w:bottom="900" w:left="900" w:header="708" w:footer="708" w:gutter="0"/>
      <w:pgBorders w:offsetFrom="page">
        <w:top w:val="single" w:sz="4" w:space="24" w:color="5091CD"/>
        <w:left w:val="single" w:sz="4" w:space="24" w:color="5091CD"/>
        <w:bottom w:val="single" w:sz="4" w:space="24" w:color="5091CD"/>
        <w:right w:val="single" w:sz="4" w:space="24" w:color="5091C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56A" w:rsidRDefault="0066056A">
      <w:r>
        <w:separator/>
      </w:r>
    </w:p>
  </w:endnote>
  <w:endnote w:type="continuationSeparator" w:id="0">
    <w:p w:rsidR="0066056A" w:rsidRDefault="0066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56A" w:rsidRDefault="0066056A">
      <w:r>
        <w:separator/>
      </w:r>
    </w:p>
  </w:footnote>
  <w:footnote w:type="continuationSeparator" w:id="0">
    <w:p w:rsidR="0066056A" w:rsidRDefault="00660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ED0"/>
    <w:multiLevelType w:val="hybridMultilevel"/>
    <w:tmpl w:val="A818314C"/>
    <w:lvl w:ilvl="0" w:tplc="F40AB970">
      <w:start w:val="5"/>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EBC5A71"/>
    <w:multiLevelType w:val="hybridMultilevel"/>
    <w:tmpl w:val="E7ECE5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9B7C78"/>
    <w:multiLevelType w:val="hybridMultilevel"/>
    <w:tmpl w:val="8976F25A"/>
    <w:lvl w:ilvl="0" w:tplc="3D22BF4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905D6"/>
    <w:multiLevelType w:val="hybridMultilevel"/>
    <w:tmpl w:val="E97E1A84"/>
    <w:lvl w:ilvl="0" w:tplc="0EE020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cs="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cs="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cs="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D58D9"/>
    <w:multiLevelType w:val="hybridMultilevel"/>
    <w:tmpl w:val="F2D43726"/>
    <w:lvl w:ilvl="0" w:tplc="6EFE8746">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7CE70111"/>
    <w:multiLevelType w:val="hybridMultilevel"/>
    <w:tmpl w:val="D4F0972E"/>
    <w:lvl w:ilvl="0" w:tplc="43B6F89A">
      <w:start w:val="7"/>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3"/>
  </w:num>
  <w:num w:numId="6">
    <w:abstractNumId w:val="9"/>
  </w:num>
  <w:num w:numId="7">
    <w:abstractNumId w:val="7"/>
  </w:num>
  <w:num w:numId="8">
    <w:abstractNumId w:val="0"/>
    <w:lvlOverride w:ilvl="0"/>
    <w:lvlOverride w:ilvl="1"/>
    <w:lvlOverride w:ilvl="2"/>
    <w:lvlOverride w:ilvl="3"/>
    <w:lvlOverride w:ilvl="4"/>
    <w:lvlOverride w:ilvl="5"/>
    <w:lvlOverride w:ilvl="6"/>
    <w:lvlOverride w:ilvl="7"/>
    <w:lvlOverride w:ilvl="8"/>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0445C"/>
    <w:rsid w:val="00006E50"/>
    <w:rsid w:val="000179F0"/>
    <w:rsid w:val="00030F20"/>
    <w:rsid w:val="0004298A"/>
    <w:rsid w:val="000532D3"/>
    <w:rsid w:val="0007798F"/>
    <w:rsid w:val="000833C8"/>
    <w:rsid w:val="00083C68"/>
    <w:rsid w:val="000B1DCB"/>
    <w:rsid w:val="000E3519"/>
    <w:rsid w:val="000F0679"/>
    <w:rsid w:val="00122345"/>
    <w:rsid w:val="00126461"/>
    <w:rsid w:val="00135B86"/>
    <w:rsid w:val="00167D1A"/>
    <w:rsid w:val="00170616"/>
    <w:rsid w:val="00175F68"/>
    <w:rsid w:val="001876AD"/>
    <w:rsid w:val="001A1A16"/>
    <w:rsid w:val="001F0EC6"/>
    <w:rsid w:val="002354DE"/>
    <w:rsid w:val="002459D4"/>
    <w:rsid w:val="002D6454"/>
    <w:rsid w:val="002E208B"/>
    <w:rsid w:val="00305AAA"/>
    <w:rsid w:val="00311763"/>
    <w:rsid w:val="00327CEA"/>
    <w:rsid w:val="003504C8"/>
    <w:rsid w:val="00380BD6"/>
    <w:rsid w:val="00384E31"/>
    <w:rsid w:val="003E000B"/>
    <w:rsid w:val="003E7125"/>
    <w:rsid w:val="003F291A"/>
    <w:rsid w:val="00400289"/>
    <w:rsid w:val="00423CCB"/>
    <w:rsid w:val="00426FD6"/>
    <w:rsid w:val="00427DD9"/>
    <w:rsid w:val="00431F63"/>
    <w:rsid w:val="004370F3"/>
    <w:rsid w:val="00441580"/>
    <w:rsid w:val="00455151"/>
    <w:rsid w:val="004559F4"/>
    <w:rsid w:val="0046212B"/>
    <w:rsid w:val="00475864"/>
    <w:rsid w:val="004C786A"/>
    <w:rsid w:val="004F5AE6"/>
    <w:rsid w:val="00502CF0"/>
    <w:rsid w:val="00527252"/>
    <w:rsid w:val="00577C82"/>
    <w:rsid w:val="005B2206"/>
    <w:rsid w:val="005B4D94"/>
    <w:rsid w:val="005B5E34"/>
    <w:rsid w:val="005C1EE3"/>
    <w:rsid w:val="005D0757"/>
    <w:rsid w:val="005E76AE"/>
    <w:rsid w:val="005F245A"/>
    <w:rsid w:val="00602658"/>
    <w:rsid w:val="00616F11"/>
    <w:rsid w:val="00624910"/>
    <w:rsid w:val="0066056A"/>
    <w:rsid w:val="0066281D"/>
    <w:rsid w:val="006A0018"/>
    <w:rsid w:val="006C3F14"/>
    <w:rsid w:val="006C6B19"/>
    <w:rsid w:val="006E496E"/>
    <w:rsid w:val="006F1F66"/>
    <w:rsid w:val="00705DDB"/>
    <w:rsid w:val="00706D9A"/>
    <w:rsid w:val="00707017"/>
    <w:rsid w:val="00714286"/>
    <w:rsid w:val="00715D50"/>
    <w:rsid w:val="00741971"/>
    <w:rsid w:val="00742437"/>
    <w:rsid w:val="00757F91"/>
    <w:rsid w:val="00766225"/>
    <w:rsid w:val="00771728"/>
    <w:rsid w:val="007E18B0"/>
    <w:rsid w:val="007E3C95"/>
    <w:rsid w:val="007E7D42"/>
    <w:rsid w:val="00811014"/>
    <w:rsid w:val="00824D8A"/>
    <w:rsid w:val="008420C7"/>
    <w:rsid w:val="00847582"/>
    <w:rsid w:val="008567A0"/>
    <w:rsid w:val="00866B16"/>
    <w:rsid w:val="00894205"/>
    <w:rsid w:val="008A0DFE"/>
    <w:rsid w:val="008A5816"/>
    <w:rsid w:val="008D3679"/>
    <w:rsid w:val="008D57F9"/>
    <w:rsid w:val="009028A8"/>
    <w:rsid w:val="00903A3C"/>
    <w:rsid w:val="00914A82"/>
    <w:rsid w:val="00924E21"/>
    <w:rsid w:val="00935857"/>
    <w:rsid w:val="0094500B"/>
    <w:rsid w:val="009467D0"/>
    <w:rsid w:val="00950D68"/>
    <w:rsid w:val="00965271"/>
    <w:rsid w:val="009815E0"/>
    <w:rsid w:val="009A52FE"/>
    <w:rsid w:val="009D22A9"/>
    <w:rsid w:val="009D3848"/>
    <w:rsid w:val="009F757F"/>
    <w:rsid w:val="00A47A49"/>
    <w:rsid w:val="00A607C2"/>
    <w:rsid w:val="00A649B9"/>
    <w:rsid w:val="00A71BCF"/>
    <w:rsid w:val="00A72AEA"/>
    <w:rsid w:val="00A769E8"/>
    <w:rsid w:val="00A77B1D"/>
    <w:rsid w:val="00AD0C17"/>
    <w:rsid w:val="00AD777F"/>
    <w:rsid w:val="00AE32EB"/>
    <w:rsid w:val="00AF4A23"/>
    <w:rsid w:val="00B01757"/>
    <w:rsid w:val="00B224E0"/>
    <w:rsid w:val="00B35830"/>
    <w:rsid w:val="00B4378C"/>
    <w:rsid w:val="00B530C8"/>
    <w:rsid w:val="00B66FE2"/>
    <w:rsid w:val="00B857F1"/>
    <w:rsid w:val="00B926A8"/>
    <w:rsid w:val="00BA59E0"/>
    <w:rsid w:val="00BA68B6"/>
    <w:rsid w:val="00BB2E50"/>
    <w:rsid w:val="00BE5AA3"/>
    <w:rsid w:val="00BF3AA8"/>
    <w:rsid w:val="00C04227"/>
    <w:rsid w:val="00C21898"/>
    <w:rsid w:val="00C6019D"/>
    <w:rsid w:val="00C774BB"/>
    <w:rsid w:val="00C820A8"/>
    <w:rsid w:val="00C86738"/>
    <w:rsid w:val="00CA5347"/>
    <w:rsid w:val="00CA7BC0"/>
    <w:rsid w:val="00CD1598"/>
    <w:rsid w:val="00CD7EA0"/>
    <w:rsid w:val="00CE1DDA"/>
    <w:rsid w:val="00D144D0"/>
    <w:rsid w:val="00D14BAD"/>
    <w:rsid w:val="00D23FE3"/>
    <w:rsid w:val="00D25C9D"/>
    <w:rsid w:val="00D34F6C"/>
    <w:rsid w:val="00D4712E"/>
    <w:rsid w:val="00D50DC9"/>
    <w:rsid w:val="00D70FB2"/>
    <w:rsid w:val="00D81BA8"/>
    <w:rsid w:val="00D90A83"/>
    <w:rsid w:val="00DF629A"/>
    <w:rsid w:val="00E06FD9"/>
    <w:rsid w:val="00E14188"/>
    <w:rsid w:val="00E31654"/>
    <w:rsid w:val="00E522AE"/>
    <w:rsid w:val="00E63509"/>
    <w:rsid w:val="00E641F8"/>
    <w:rsid w:val="00E8645A"/>
    <w:rsid w:val="00EF6FAB"/>
    <w:rsid w:val="00EF72ED"/>
    <w:rsid w:val="00F074A3"/>
    <w:rsid w:val="00F42398"/>
    <w:rsid w:val="00F55554"/>
    <w:rsid w:val="00F66334"/>
    <w:rsid w:val="00F91FDF"/>
    <w:rsid w:val="00FC0670"/>
    <w:rsid w:val="00FC3A57"/>
    <w:rsid w:val="00FD504E"/>
    <w:rsid w:val="00FF66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ddd,#3291cd"/>
    </o:shapedefaults>
    <o:shapelayout v:ext="edit">
      <o:idmap v:ext="edit" data="1"/>
    </o:shapelayout>
  </w:shapeDefaults>
  <w:decimalSymbol w:val=","/>
  <w:listSeparator w:val=";"/>
  <w15:chartTrackingRefBased/>
  <w15:docId w15:val="{E7EFA08D-0075-4EE9-814E-7062B079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qFormat/>
    <w:rsid w:val="005D0757"/>
    <w:pPr>
      <w:spacing w:before="360" w:after="270"/>
      <w:outlineLvl w:val="0"/>
    </w:pPr>
    <w:rPr>
      <w:rFonts w:cs="Tahoma"/>
      <w:b/>
      <w:color w:val="99CC00"/>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C774BB"/>
    <w:pPr>
      <w:tabs>
        <w:tab w:val="center" w:pos="4153"/>
        <w:tab w:val="right" w:pos="8306"/>
      </w:tabs>
    </w:pPr>
  </w:style>
  <w:style w:type="paragraph" w:styleId="Noga">
    <w:name w:val="footer"/>
    <w:basedOn w:val="Navaden"/>
    <w:rsid w:val="00C774BB"/>
    <w:pPr>
      <w:tabs>
        <w:tab w:val="center" w:pos="4153"/>
        <w:tab w:val="right" w:pos="8306"/>
      </w:tabs>
    </w:pPr>
  </w:style>
  <w:style w:type="character" w:styleId="tevilkastrani">
    <w:name w:val="page number"/>
    <w:basedOn w:val="Privzetapisavaodstavka"/>
    <w:rsid w:val="00C774BB"/>
  </w:style>
  <w:style w:type="paragraph" w:styleId="Navadensplet">
    <w:name w:val="Normal (Web)"/>
    <w:basedOn w:val="Navaden"/>
    <w:rsid w:val="00C774BB"/>
    <w:pPr>
      <w:spacing w:after="258" w:line="258" w:lineRule="atLeast"/>
      <w:jc w:val="both"/>
    </w:pPr>
    <w:rPr>
      <w:sz w:val="20"/>
      <w:szCs w:val="20"/>
    </w:rPr>
  </w:style>
  <w:style w:type="table" w:styleId="Tabelamrea">
    <w:name w:val="Table Grid"/>
    <w:basedOn w:val="Navadnatabela"/>
    <w:rsid w:val="00D90A83"/>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semiHidden/>
    <w:rsid w:val="00A649B9"/>
    <w:rPr>
      <w:rFonts w:ascii="Arial" w:hAnsi="Arial" w:cs="Arial"/>
      <w:color w:val="000080"/>
      <w:sz w:val="20"/>
      <w:szCs w:val="20"/>
    </w:rPr>
  </w:style>
  <w:style w:type="character" w:styleId="Hiperpovezava">
    <w:name w:val="Hyperlink"/>
    <w:rsid w:val="00B926A8"/>
    <w:rPr>
      <w:color w:val="0000FF"/>
      <w:u w:val="single"/>
    </w:rPr>
  </w:style>
  <w:style w:type="paragraph" w:styleId="Besedilooblaka">
    <w:name w:val="Balloon Text"/>
    <w:basedOn w:val="Navaden"/>
    <w:semiHidden/>
    <w:rsid w:val="005C1EE3"/>
    <w:rPr>
      <w:rFonts w:cs="Tahoma"/>
      <w:sz w:val="16"/>
      <w:szCs w:val="16"/>
    </w:rPr>
  </w:style>
  <w:style w:type="paragraph" w:styleId="Odstavekseznama">
    <w:name w:val="List Paragraph"/>
    <w:basedOn w:val="Navaden"/>
    <w:uiPriority w:val="34"/>
    <w:qFormat/>
    <w:rsid w:val="00527252"/>
    <w:pPr>
      <w:spacing w:after="0"/>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2953">
      <w:bodyDiv w:val="1"/>
      <w:marLeft w:val="0"/>
      <w:marRight w:val="0"/>
      <w:marTop w:val="0"/>
      <w:marBottom w:val="0"/>
      <w:divBdr>
        <w:top w:val="none" w:sz="0" w:space="0" w:color="auto"/>
        <w:left w:val="none" w:sz="0" w:space="0" w:color="auto"/>
        <w:bottom w:val="none" w:sz="0" w:space="0" w:color="auto"/>
        <w:right w:val="none" w:sz="0" w:space="0" w:color="auto"/>
      </w:divBdr>
    </w:div>
    <w:div w:id="520706937">
      <w:bodyDiv w:val="1"/>
      <w:marLeft w:val="0"/>
      <w:marRight w:val="0"/>
      <w:marTop w:val="0"/>
      <w:marBottom w:val="0"/>
      <w:divBdr>
        <w:top w:val="none" w:sz="0" w:space="0" w:color="auto"/>
        <w:left w:val="none" w:sz="0" w:space="0" w:color="auto"/>
        <w:bottom w:val="none" w:sz="0" w:space="0" w:color="auto"/>
        <w:right w:val="none" w:sz="0" w:space="0" w:color="auto"/>
      </w:divBdr>
      <w:divsChild>
        <w:div w:id="1323781233">
          <w:marLeft w:val="0"/>
          <w:marRight w:val="0"/>
          <w:marTop w:val="0"/>
          <w:marBottom w:val="0"/>
          <w:divBdr>
            <w:top w:val="none" w:sz="0" w:space="0" w:color="auto"/>
            <w:left w:val="none" w:sz="0" w:space="0" w:color="auto"/>
            <w:bottom w:val="none" w:sz="0" w:space="0" w:color="auto"/>
            <w:right w:val="none" w:sz="0" w:space="0" w:color="auto"/>
          </w:divBdr>
          <w:divsChild>
            <w:div w:id="1995602928">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986938110">
      <w:bodyDiv w:val="1"/>
      <w:marLeft w:val="0"/>
      <w:marRight w:val="0"/>
      <w:marTop w:val="0"/>
      <w:marBottom w:val="0"/>
      <w:divBdr>
        <w:top w:val="none" w:sz="0" w:space="0" w:color="auto"/>
        <w:left w:val="none" w:sz="0" w:space="0" w:color="auto"/>
        <w:bottom w:val="none" w:sz="0" w:space="0" w:color="auto"/>
        <w:right w:val="none" w:sz="0" w:space="0" w:color="auto"/>
      </w:divBdr>
    </w:div>
    <w:div w:id="1755932259">
      <w:bodyDiv w:val="1"/>
      <w:marLeft w:val="0"/>
      <w:marRight w:val="0"/>
      <w:marTop w:val="0"/>
      <w:marBottom w:val="0"/>
      <w:divBdr>
        <w:top w:val="none" w:sz="0" w:space="0" w:color="auto"/>
        <w:left w:val="none" w:sz="0" w:space="0" w:color="auto"/>
        <w:bottom w:val="none" w:sz="0" w:space="0" w:color="auto"/>
        <w:right w:val="none" w:sz="0" w:space="0" w:color="auto"/>
      </w:divBdr>
    </w:div>
    <w:div w:id="2007828771">
      <w:bodyDiv w:val="1"/>
      <w:marLeft w:val="0"/>
      <w:marRight w:val="0"/>
      <w:marTop w:val="0"/>
      <w:marBottom w:val="0"/>
      <w:divBdr>
        <w:top w:val="none" w:sz="0" w:space="0" w:color="auto"/>
        <w:left w:val="none" w:sz="0" w:space="0" w:color="auto"/>
        <w:bottom w:val="none" w:sz="0" w:space="0" w:color="auto"/>
        <w:right w:val="none" w:sz="0" w:space="0" w:color="auto"/>
      </w:divBdr>
    </w:div>
    <w:div w:id="2089618880">
      <w:bodyDiv w:val="1"/>
      <w:marLeft w:val="0"/>
      <w:marRight w:val="0"/>
      <w:marTop w:val="0"/>
      <w:marBottom w:val="0"/>
      <w:divBdr>
        <w:top w:val="none" w:sz="0" w:space="0" w:color="auto"/>
        <w:left w:val="none" w:sz="0" w:space="0" w:color="auto"/>
        <w:bottom w:val="none" w:sz="0" w:space="0" w:color="auto"/>
        <w:right w:val="none" w:sz="0" w:space="0" w:color="auto"/>
      </w:divBdr>
      <w:divsChild>
        <w:div w:id="143546883">
          <w:marLeft w:val="0"/>
          <w:marRight w:val="0"/>
          <w:marTop w:val="0"/>
          <w:marBottom w:val="0"/>
          <w:divBdr>
            <w:top w:val="none" w:sz="0" w:space="0" w:color="auto"/>
            <w:left w:val="none" w:sz="0" w:space="0" w:color="auto"/>
            <w:bottom w:val="none" w:sz="0" w:space="0" w:color="auto"/>
            <w:right w:val="none" w:sz="0" w:space="0" w:color="auto"/>
          </w:divBdr>
        </w:div>
        <w:div w:id="263854136">
          <w:marLeft w:val="0"/>
          <w:marRight w:val="0"/>
          <w:marTop w:val="0"/>
          <w:marBottom w:val="0"/>
          <w:divBdr>
            <w:top w:val="none" w:sz="0" w:space="0" w:color="auto"/>
            <w:left w:val="none" w:sz="0" w:space="0" w:color="auto"/>
            <w:bottom w:val="none" w:sz="0" w:space="0" w:color="auto"/>
            <w:right w:val="none" w:sz="0" w:space="0" w:color="auto"/>
          </w:divBdr>
        </w:div>
        <w:div w:id="351035091">
          <w:marLeft w:val="0"/>
          <w:marRight w:val="0"/>
          <w:marTop w:val="0"/>
          <w:marBottom w:val="0"/>
          <w:divBdr>
            <w:top w:val="none" w:sz="0" w:space="0" w:color="auto"/>
            <w:left w:val="none" w:sz="0" w:space="0" w:color="auto"/>
            <w:bottom w:val="none" w:sz="0" w:space="0" w:color="auto"/>
            <w:right w:val="none" w:sz="0" w:space="0" w:color="auto"/>
          </w:divBdr>
        </w:div>
        <w:div w:id="390347159">
          <w:marLeft w:val="0"/>
          <w:marRight w:val="0"/>
          <w:marTop w:val="0"/>
          <w:marBottom w:val="0"/>
          <w:divBdr>
            <w:top w:val="none" w:sz="0" w:space="0" w:color="auto"/>
            <w:left w:val="none" w:sz="0" w:space="0" w:color="auto"/>
            <w:bottom w:val="none" w:sz="0" w:space="0" w:color="auto"/>
            <w:right w:val="none" w:sz="0" w:space="0" w:color="auto"/>
          </w:divBdr>
        </w:div>
        <w:div w:id="899749249">
          <w:marLeft w:val="0"/>
          <w:marRight w:val="0"/>
          <w:marTop w:val="0"/>
          <w:marBottom w:val="0"/>
          <w:divBdr>
            <w:top w:val="none" w:sz="0" w:space="0" w:color="auto"/>
            <w:left w:val="none" w:sz="0" w:space="0" w:color="auto"/>
            <w:bottom w:val="none" w:sz="0" w:space="0" w:color="auto"/>
            <w:right w:val="none" w:sz="0" w:space="0" w:color="auto"/>
          </w:divBdr>
        </w:div>
        <w:div w:id="949629033">
          <w:marLeft w:val="0"/>
          <w:marRight w:val="0"/>
          <w:marTop w:val="0"/>
          <w:marBottom w:val="0"/>
          <w:divBdr>
            <w:top w:val="none" w:sz="0" w:space="0" w:color="auto"/>
            <w:left w:val="none" w:sz="0" w:space="0" w:color="auto"/>
            <w:bottom w:val="none" w:sz="0" w:space="0" w:color="auto"/>
            <w:right w:val="none" w:sz="0" w:space="0" w:color="auto"/>
          </w:divBdr>
        </w:div>
        <w:div w:id="1020819110">
          <w:marLeft w:val="0"/>
          <w:marRight w:val="0"/>
          <w:marTop w:val="0"/>
          <w:marBottom w:val="0"/>
          <w:divBdr>
            <w:top w:val="none" w:sz="0" w:space="0" w:color="auto"/>
            <w:left w:val="none" w:sz="0" w:space="0" w:color="auto"/>
            <w:bottom w:val="none" w:sz="0" w:space="0" w:color="auto"/>
            <w:right w:val="none" w:sz="0" w:space="0" w:color="auto"/>
          </w:divBdr>
        </w:div>
        <w:div w:id="1360625416">
          <w:marLeft w:val="0"/>
          <w:marRight w:val="0"/>
          <w:marTop w:val="0"/>
          <w:marBottom w:val="0"/>
          <w:divBdr>
            <w:top w:val="none" w:sz="0" w:space="0" w:color="auto"/>
            <w:left w:val="none" w:sz="0" w:space="0" w:color="auto"/>
            <w:bottom w:val="none" w:sz="0" w:space="0" w:color="auto"/>
            <w:right w:val="none" w:sz="0" w:space="0" w:color="auto"/>
          </w:divBdr>
        </w:div>
        <w:div w:id="1810778744">
          <w:marLeft w:val="0"/>
          <w:marRight w:val="0"/>
          <w:marTop w:val="0"/>
          <w:marBottom w:val="0"/>
          <w:divBdr>
            <w:top w:val="none" w:sz="0" w:space="0" w:color="auto"/>
            <w:left w:val="none" w:sz="0" w:space="0" w:color="auto"/>
            <w:bottom w:val="none" w:sz="0" w:space="0" w:color="auto"/>
            <w:right w:val="none" w:sz="0" w:space="0" w:color="auto"/>
          </w:divBdr>
        </w:div>
        <w:div w:id="1844011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grt.gov.si/fileadmin/mgrt.gov.si/pageuploads/DPK/splosno_mnenje_MGRT_o_davcnih_olajsavah_CETRTO_2016_POPRAVEK.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493</Words>
  <Characters>3182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lpstr>
    </vt:vector>
  </TitlesOfParts>
  <Company>Gospodarska Zbornica Slovenije</Company>
  <LinksUpToDate>false</LinksUpToDate>
  <CharactersWithSpaces>3668</CharactersWithSpaces>
  <SharedDoc>false</SharedDoc>
  <HLinks>
    <vt:vector size="6" baseType="variant">
      <vt:variant>
        <vt:i4>1114140</vt:i4>
      </vt:variant>
      <vt:variant>
        <vt:i4>0</vt:i4>
      </vt:variant>
      <vt:variant>
        <vt:i4>0</vt:i4>
      </vt:variant>
      <vt:variant>
        <vt:i4>5</vt:i4>
      </vt:variant>
      <vt:variant>
        <vt:lpwstr>http://www.mgrt.gov.si/fileadmin/mgrt.gov.si/pageuploads/DPK/splosno_mnenje_MGRT_o_davcnih_olajsavah_CETRTO_2016_POPRAVEK.pdf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Tajda Pelicon</cp:lastModifiedBy>
  <cp:revision>3</cp:revision>
  <cp:lastPrinted>2013-11-15T10:23:00Z</cp:lastPrinted>
  <dcterms:created xsi:type="dcterms:W3CDTF">2016-10-20T13:27:00Z</dcterms:created>
  <dcterms:modified xsi:type="dcterms:W3CDTF">2016-10-20T13:32:00Z</dcterms:modified>
</cp:coreProperties>
</file>