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670" w:rsidRPr="0046212B" w:rsidRDefault="00766225" w:rsidP="00B4378C">
      <w:pPr>
        <w:jc w:val="both"/>
        <w:rPr>
          <w:rFonts w:cs="Tahoma"/>
        </w:rPr>
      </w:pPr>
      <w:r w:rsidRPr="0046212B">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1449070" cy="866775"/>
            <wp:effectExtent l="0" t="0" r="0" b="952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907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12B">
        <w:rPr>
          <w:noProof/>
        </w:rPr>
        <w:drawing>
          <wp:anchor distT="0" distB="0" distL="114300" distR="114300" simplePos="0" relativeHeight="251657216" behindDoc="0" locked="0" layoutInCell="1" allowOverlap="1">
            <wp:simplePos x="0" y="0"/>
            <wp:positionH relativeFrom="column">
              <wp:posOffset>4914900</wp:posOffset>
            </wp:positionH>
            <wp:positionV relativeFrom="paragraph">
              <wp:posOffset>0</wp:posOffset>
            </wp:positionV>
            <wp:extent cx="1483995" cy="600710"/>
            <wp:effectExtent l="0" t="0" r="1905" b="889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3995"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354DE" w:rsidRPr="0046212B">
        <w:rPr>
          <w:rFonts w:cs="Tahoma"/>
        </w:rPr>
        <w:t xml:space="preserve"> </w:t>
      </w:r>
    </w:p>
    <w:p w:rsidR="00CA7BC0" w:rsidRPr="0046212B" w:rsidRDefault="00CA7BC0" w:rsidP="00B4378C">
      <w:pPr>
        <w:jc w:val="both"/>
        <w:rPr>
          <w:rFonts w:cs="Tahoma"/>
        </w:rPr>
      </w:pPr>
    </w:p>
    <w:p w:rsidR="002354DE" w:rsidRPr="0046212B" w:rsidRDefault="002354DE" w:rsidP="00B4378C">
      <w:pPr>
        <w:jc w:val="both"/>
        <w:rPr>
          <w:rFonts w:cs="Tahoma"/>
        </w:rPr>
      </w:pPr>
    </w:p>
    <w:p w:rsidR="00BF22F1" w:rsidRPr="00BF22F1" w:rsidRDefault="00BF22F1" w:rsidP="00BF22F1">
      <w:pPr>
        <w:rPr>
          <w:b/>
          <w:color w:val="5289CC"/>
          <w:sz w:val="28"/>
          <w:szCs w:val="28"/>
        </w:rPr>
      </w:pPr>
      <w:r w:rsidRPr="00BF22F1">
        <w:rPr>
          <w:b/>
          <w:color w:val="5289CC"/>
          <w:sz w:val="28"/>
          <w:szCs w:val="28"/>
        </w:rPr>
        <w:t>Bruselj za razvojni proračun, Ljubljana pa ne</w:t>
      </w:r>
    </w:p>
    <w:p w:rsidR="001F6B26" w:rsidRDefault="00BF22F1" w:rsidP="001F6B26">
      <w:pPr>
        <w:jc w:val="both"/>
        <w:rPr>
          <w:b/>
          <w:bCs/>
          <w:sz w:val="20"/>
        </w:rPr>
      </w:pPr>
      <w:r>
        <w:rPr>
          <w:sz w:val="20"/>
        </w:rPr>
        <w:t>2</w:t>
      </w:r>
      <w:r w:rsidRPr="004D3A52">
        <w:rPr>
          <w:sz w:val="20"/>
        </w:rPr>
        <w:t>8.10.2016</w:t>
      </w:r>
      <w:r w:rsidR="001F6B26" w:rsidRPr="001F6B26">
        <w:rPr>
          <w:b/>
          <w:bCs/>
          <w:sz w:val="20"/>
        </w:rPr>
        <w:t xml:space="preserve"> </w:t>
      </w:r>
    </w:p>
    <w:p w:rsidR="001F6B26" w:rsidRDefault="001F6B26" w:rsidP="001F6B26">
      <w:pPr>
        <w:jc w:val="both"/>
        <w:rPr>
          <w:b/>
          <w:bCs/>
          <w:sz w:val="20"/>
        </w:rPr>
      </w:pPr>
    </w:p>
    <w:p w:rsidR="001F6B26" w:rsidRPr="001F6B26" w:rsidRDefault="001F6B26" w:rsidP="001F6B26">
      <w:pPr>
        <w:jc w:val="both"/>
        <w:rPr>
          <w:sz w:val="22"/>
          <w:szCs w:val="22"/>
        </w:rPr>
      </w:pPr>
      <w:r w:rsidRPr="001F6B26">
        <w:rPr>
          <w:b/>
          <w:bCs/>
          <w:sz w:val="22"/>
          <w:szCs w:val="22"/>
        </w:rPr>
        <w:t>Večji prilivi zaradi stopnje davka od dohodka pravnih oseb pomenijo 3.000 manj delovnih mest. Predlog proračuna za leti 2017 in 2018</w:t>
      </w:r>
      <w:r>
        <w:rPr>
          <w:b/>
          <w:bCs/>
          <w:sz w:val="22"/>
          <w:szCs w:val="22"/>
        </w:rPr>
        <w:t xml:space="preserve"> lahko </w:t>
      </w:r>
      <w:r w:rsidRPr="001F6B26">
        <w:rPr>
          <w:b/>
          <w:bCs/>
          <w:sz w:val="22"/>
          <w:szCs w:val="22"/>
        </w:rPr>
        <w:t>ocenimo kot bistveno premalo razvojen, osredotočen na tekočo porabo in javni sektor. Nujno potrebne reforme so žal spet potisnjene v prihodnost, v mandat nove vlade po letu 2019.</w:t>
      </w:r>
      <w:r w:rsidRPr="001F6B26">
        <w:rPr>
          <w:sz w:val="22"/>
          <w:szCs w:val="22"/>
        </w:rPr>
        <w:t xml:space="preserve"> </w:t>
      </w:r>
    </w:p>
    <w:p w:rsidR="001F6B26" w:rsidRPr="001F6B26" w:rsidRDefault="001F6B26" w:rsidP="001F6B26">
      <w:pPr>
        <w:jc w:val="both"/>
        <w:rPr>
          <w:b/>
          <w:bCs/>
          <w:sz w:val="22"/>
          <w:szCs w:val="22"/>
        </w:rPr>
      </w:pPr>
      <w:r w:rsidRPr="001F6B26">
        <w:rPr>
          <w:sz w:val="22"/>
          <w:szCs w:val="22"/>
        </w:rPr>
        <w:t>Kakovost javnih financ se ne izboljšuje, saj bodo izdatki za pokojnine in zdravstvo še naprej naraščali, precej bo narasla tudi masa plač v javnem sektorju. Sprostitev dogovorjenih ukrepov z ZUJF bi lahko stroške dela v javnem sektorju povečal</w:t>
      </w:r>
      <w:r>
        <w:rPr>
          <w:sz w:val="22"/>
          <w:szCs w:val="22"/>
        </w:rPr>
        <w:t>a</w:t>
      </w:r>
      <w:r w:rsidRPr="001F6B26">
        <w:rPr>
          <w:sz w:val="22"/>
          <w:szCs w:val="22"/>
        </w:rPr>
        <w:t xml:space="preserve"> </w:t>
      </w:r>
      <w:r>
        <w:rPr>
          <w:sz w:val="22"/>
          <w:szCs w:val="22"/>
        </w:rPr>
        <w:t>za 215 mio EUR, brez upoštevanja</w:t>
      </w:r>
      <w:r w:rsidRPr="001F6B26">
        <w:rPr>
          <w:sz w:val="22"/>
          <w:szCs w:val="22"/>
        </w:rPr>
        <w:t xml:space="preserve"> 54 mio EUR zaradi plačila premij dodatnega pokojninskega zavarovanja. Od maja naprej se število zaposlenih v javnem sektorju</w:t>
      </w:r>
      <w:r>
        <w:rPr>
          <w:sz w:val="22"/>
          <w:szCs w:val="22"/>
        </w:rPr>
        <w:t xml:space="preserve"> </w:t>
      </w:r>
      <w:r w:rsidRPr="001F6B26">
        <w:rPr>
          <w:sz w:val="22"/>
          <w:szCs w:val="22"/>
        </w:rPr>
        <w:t>-</w:t>
      </w:r>
      <w:r>
        <w:rPr>
          <w:sz w:val="22"/>
          <w:szCs w:val="22"/>
        </w:rPr>
        <w:t xml:space="preserve"> </w:t>
      </w:r>
      <w:r w:rsidRPr="001F6B26">
        <w:rPr>
          <w:sz w:val="22"/>
          <w:szCs w:val="22"/>
        </w:rPr>
        <w:t>sektor država že povečuje hitreje kot v zasebnem. V prvih osmih mesecih so se povprečne bruto plače v javnem sektorju povečale za 2,6 %, v zasebnem za 1,9 %.</w:t>
      </w:r>
    </w:p>
    <w:p w:rsidR="001F6B26" w:rsidRPr="001F6B26" w:rsidRDefault="001F6B26" w:rsidP="001F6B26">
      <w:pPr>
        <w:jc w:val="both"/>
        <w:rPr>
          <w:b/>
          <w:sz w:val="22"/>
          <w:szCs w:val="22"/>
        </w:rPr>
      </w:pPr>
      <w:r w:rsidRPr="001F6B26">
        <w:rPr>
          <w:b/>
          <w:sz w:val="22"/>
          <w:szCs w:val="22"/>
        </w:rPr>
        <w:t>Več za upokojence, manj za odplačevanje dolgov</w:t>
      </w:r>
    </w:p>
    <w:p w:rsidR="001F6B26" w:rsidRPr="001F6B26" w:rsidRDefault="001F6B26" w:rsidP="001F6B26">
      <w:pPr>
        <w:jc w:val="both"/>
        <w:rPr>
          <w:sz w:val="22"/>
          <w:szCs w:val="22"/>
        </w:rPr>
      </w:pPr>
      <w:r w:rsidRPr="001F6B26">
        <w:rPr>
          <w:sz w:val="22"/>
          <w:szCs w:val="22"/>
        </w:rPr>
        <w:t>Pokojnine se bodo v začetku novega leta uskladile za 1 %, pri čemer v zadnjih 12-ih mesecih beležimo upad cen za 0,4 %. To zopet povečuje realno breme za vse davkoplačevalce, za tekoče pokojnine pa se v določeni meri namenjajo tudi prihodki iz upravljanja državnih naložb. Ta sredstva bi morala biti v osnovi namenjena odplačevanju v krizi nakopičenih dolgov, saj let</w:t>
      </w:r>
      <w:r>
        <w:rPr>
          <w:sz w:val="22"/>
          <w:szCs w:val="22"/>
        </w:rPr>
        <w:t>no za obresti namenjamo 3 % BDP</w:t>
      </w:r>
      <w:r w:rsidRPr="001F6B26">
        <w:rPr>
          <w:sz w:val="22"/>
          <w:szCs w:val="22"/>
        </w:rPr>
        <w:t xml:space="preserve"> oziroma približno toliko, kot zna</w:t>
      </w:r>
      <w:r>
        <w:rPr>
          <w:sz w:val="22"/>
          <w:szCs w:val="22"/>
        </w:rPr>
        <w:t>ša javno-finančni primanjkljaj.</w:t>
      </w:r>
    </w:p>
    <w:p w:rsidR="001F6B26" w:rsidRPr="001F6B26" w:rsidRDefault="001F6B26" w:rsidP="001F6B26">
      <w:pPr>
        <w:jc w:val="both"/>
        <w:rPr>
          <w:sz w:val="22"/>
          <w:szCs w:val="22"/>
        </w:rPr>
      </w:pPr>
      <w:r w:rsidRPr="001F6B26">
        <w:rPr>
          <w:sz w:val="22"/>
          <w:szCs w:val="22"/>
        </w:rPr>
        <w:t>Država od leta 2013 pobere 1,3 mrd EUR več davčnih prilivov, kar ustrezno temu znižuje domačo potrošnjo in prihodke podjetij, ki so usmerjena na domači trg. Višji DDV ob enaki potrošnji namreč znižuje prodajni prihodek gospodarstva. Priznati moramo, da ima s tem financirana poraba države pozitiven vpliv na gospodar</w:t>
      </w:r>
      <w:r w:rsidR="00DA7590">
        <w:rPr>
          <w:sz w:val="22"/>
          <w:szCs w:val="22"/>
        </w:rPr>
        <w:t>sko rast, vendar bi bil narodno</w:t>
      </w:r>
      <w:r w:rsidRPr="001F6B26">
        <w:rPr>
          <w:sz w:val="22"/>
          <w:szCs w:val="22"/>
        </w:rPr>
        <w:t>gospodarski učinek precej boljši, če bi ta sredstva trošil zasebni sektor. Vlada je torej izbrala slabšo alternativo.</w:t>
      </w:r>
    </w:p>
    <w:p w:rsidR="001F6B26" w:rsidRPr="001F6B26" w:rsidRDefault="001F6B26" w:rsidP="001F6B26">
      <w:pPr>
        <w:jc w:val="both"/>
        <w:rPr>
          <w:b/>
          <w:sz w:val="22"/>
          <w:szCs w:val="22"/>
        </w:rPr>
      </w:pPr>
      <w:r w:rsidRPr="001F6B26">
        <w:rPr>
          <w:b/>
          <w:sz w:val="22"/>
          <w:szCs w:val="22"/>
        </w:rPr>
        <w:t>Dvig davka na dobiček pomeni manj delovnih mest</w:t>
      </w:r>
    </w:p>
    <w:p w:rsidR="001F6B26" w:rsidRPr="001F6B26" w:rsidRDefault="001F6B26" w:rsidP="001F6B26">
      <w:pPr>
        <w:jc w:val="both"/>
        <w:rPr>
          <w:sz w:val="22"/>
          <w:szCs w:val="22"/>
        </w:rPr>
      </w:pPr>
      <w:r w:rsidRPr="001F6B26">
        <w:rPr>
          <w:sz w:val="22"/>
          <w:szCs w:val="22"/>
        </w:rPr>
        <w:t>Podjetja bodo v naslednjem letu bolj obremenjena, sploh malo gospodarstvo, ki bi moralo biti gonilna sila zaposlovanja v zasebnem sektorju. Statutarna stopnja obdavčitve na dobičke pravnih oseb se dviguje s 17 % na 19 %, medtem ko je še pred letom dni zakonska ureditev obljubljala 16-odstotno stopnjo v letu 2017. Relativno bodo najbolj obremenjena mikro in majhna podjetja, saj v povprečju ne uveljavljajo toliko olajšav za znižanje davčne osnove. To breme bo nasprotno namenjeno odpiranju novih delovnih mest v javnem sektorju, kar bo povečevalo neskladja in dolgoročno nevzdržnost. Prilivi od davka naj bi bili v letu 2017 višji za 108 mio EUR glede na tekoče leto, kar dokazuje, da so bile trditve o 60 mio EUR obremenitvi načrtno podcenjene, s ciljem večje obremenitve gospodarstva.</w:t>
      </w:r>
    </w:p>
    <w:p w:rsidR="001F6B26" w:rsidRPr="001F6B26" w:rsidRDefault="001F6B26" w:rsidP="001F6B26">
      <w:pPr>
        <w:jc w:val="both"/>
        <w:rPr>
          <w:b/>
          <w:sz w:val="22"/>
          <w:szCs w:val="22"/>
        </w:rPr>
      </w:pPr>
      <w:r w:rsidRPr="001F6B26">
        <w:rPr>
          <w:b/>
          <w:sz w:val="22"/>
          <w:szCs w:val="22"/>
        </w:rPr>
        <w:t>Zgled nam podaja EU</w:t>
      </w:r>
    </w:p>
    <w:p w:rsidR="001F6B26" w:rsidRPr="001F6B26" w:rsidRDefault="001F6B26" w:rsidP="001F6B26">
      <w:pPr>
        <w:jc w:val="both"/>
        <w:rPr>
          <w:sz w:val="22"/>
          <w:szCs w:val="22"/>
        </w:rPr>
      </w:pPr>
      <w:r w:rsidRPr="001F6B26">
        <w:rPr>
          <w:sz w:val="22"/>
          <w:szCs w:val="22"/>
        </w:rPr>
        <w:t>Evropski parlament je pred dnevi predstavil precej bolj razvojno naravnan predlog proračuna EU, saj naj bi povečali sredstva za zaposlovanje mladih v zasebnem sektorju. To naj bi znižalo stopnjo brezposelnosti, povečalo zasebno potrošnjo in okrepilo gospodarsko rast. Evropski poslanci so tudi povečali sredstva za financiranje infrastrukturnih projektov.</w:t>
      </w:r>
    </w:p>
    <w:p w:rsidR="001F6B26" w:rsidRPr="001F6B26" w:rsidRDefault="001F6B26" w:rsidP="001F6B26">
      <w:pPr>
        <w:jc w:val="both"/>
        <w:rPr>
          <w:sz w:val="22"/>
          <w:szCs w:val="22"/>
        </w:rPr>
      </w:pPr>
    </w:p>
    <w:p w:rsidR="001F6B26" w:rsidRPr="001F6B26" w:rsidRDefault="001F6B26" w:rsidP="001F6B26">
      <w:pPr>
        <w:autoSpaceDE w:val="0"/>
        <w:autoSpaceDN w:val="0"/>
        <w:adjustRightInd w:val="0"/>
        <w:spacing w:after="0"/>
        <w:jc w:val="both"/>
        <w:rPr>
          <w:rFonts w:cs="SourceSansPro-Regular"/>
          <w:b/>
          <w:i/>
          <w:sz w:val="22"/>
          <w:szCs w:val="22"/>
        </w:rPr>
      </w:pPr>
      <w:r w:rsidRPr="001F6B26">
        <w:rPr>
          <w:rFonts w:cs="SourceSansPro-Regular"/>
          <w:b/>
          <w:i/>
          <w:sz w:val="22"/>
          <w:szCs w:val="22"/>
        </w:rPr>
        <w:t>Marjan Mačkošek, predsednik GZS:</w:t>
      </w:r>
    </w:p>
    <w:p w:rsidR="001F6B26" w:rsidRPr="001F6B26" w:rsidRDefault="001F6B26" w:rsidP="001F6B26">
      <w:pPr>
        <w:autoSpaceDE w:val="0"/>
        <w:autoSpaceDN w:val="0"/>
        <w:adjustRightInd w:val="0"/>
        <w:spacing w:after="0"/>
        <w:jc w:val="both"/>
        <w:rPr>
          <w:b/>
          <w:i/>
          <w:sz w:val="22"/>
          <w:szCs w:val="22"/>
        </w:rPr>
      </w:pPr>
      <w:r w:rsidRPr="001F6B26">
        <w:rPr>
          <w:b/>
          <w:i/>
          <w:sz w:val="22"/>
          <w:szCs w:val="22"/>
        </w:rPr>
        <w:t>»Če bi Vlada RS manj obremenjevala gospodarstvo, bi pridobili približno 3.000 delovnih mest. Pozivamo Vlado RS, da ponovno razmisli o ukrepih, ki jih predlagajo GZS in drugi zastopniki gospodarstva. Naj se zgleduje po proračunu, kot ga ta hip snujejo v EU. Ta ima</w:t>
      </w:r>
      <w:r w:rsidR="00DA7590">
        <w:rPr>
          <w:b/>
          <w:i/>
          <w:sz w:val="22"/>
          <w:szCs w:val="22"/>
        </w:rPr>
        <w:t xml:space="preserve"> </w:t>
      </w:r>
      <w:r w:rsidRPr="001F6B26">
        <w:rPr>
          <w:b/>
          <w:i/>
          <w:sz w:val="22"/>
          <w:szCs w:val="22"/>
        </w:rPr>
        <w:t xml:space="preserve"> cilj zaposlova</w:t>
      </w:r>
      <w:r w:rsidRPr="001F6B26">
        <w:rPr>
          <w:b/>
          <w:i/>
          <w:sz w:val="22"/>
          <w:szCs w:val="22"/>
        </w:rPr>
        <w:t>nje mladih v gospodarstvu.</w:t>
      </w:r>
      <w:r w:rsidR="00DA7590">
        <w:rPr>
          <w:b/>
          <w:i/>
          <w:sz w:val="22"/>
          <w:szCs w:val="22"/>
        </w:rPr>
        <w:t>«</w:t>
      </w:r>
    </w:p>
    <w:p w:rsidR="001F6B26" w:rsidRPr="001F6B26" w:rsidRDefault="001F6B26" w:rsidP="001F6B26">
      <w:pPr>
        <w:jc w:val="both"/>
        <w:rPr>
          <w:sz w:val="22"/>
          <w:szCs w:val="22"/>
        </w:rPr>
      </w:pPr>
    </w:p>
    <w:p w:rsidR="00BF22F1" w:rsidRPr="001F6B26" w:rsidRDefault="00BF22F1" w:rsidP="00BF22F1">
      <w:pPr>
        <w:jc w:val="both"/>
        <w:rPr>
          <w:sz w:val="22"/>
          <w:szCs w:val="22"/>
        </w:rPr>
      </w:pPr>
    </w:p>
    <w:sectPr w:rsidR="00BF22F1" w:rsidRPr="001F6B26" w:rsidSect="00D144D0">
      <w:pgSz w:w="11906" w:h="16838"/>
      <w:pgMar w:top="899" w:right="1106" w:bottom="900" w:left="900" w:header="708" w:footer="708" w:gutter="0"/>
      <w:pgBorders w:offsetFrom="page">
        <w:top w:val="single" w:sz="4" w:space="24" w:color="5091CD"/>
        <w:left w:val="single" w:sz="4" w:space="24" w:color="5091CD"/>
        <w:bottom w:val="single" w:sz="4" w:space="24" w:color="5091CD"/>
        <w:right w:val="single" w:sz="4" w:space="24" w:color="5091CD"/>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108" w:rsidRDefault="00513108">
      <w:r>
        <w:separator/>
      </w:r>
    </w:p>
  </w:endnote>
  <w:endnote w:type="continuationSeparator" w:id="0">
    <w:p w:rsidR="00513108" w:rsidRDefault="0051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ourceSansPro-Regular">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108" w:rsidRDefault="00513108">
      <w:r>
        <w:separator/>
      </w:r>
    </w:p>
  </w:footnote>
  <w:footnote w:type="continuationSeparator" w:id="0">
    <w:p w:rsidR="00513108" w:rsidRDefault="00513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3ED0"/>
    <w:multiLevelType w:val="hybridMultilevel"/>
    <w:tmpl w:val="A818314C"/>
    <w:lvl w:ilvl="0" w:tplc="F40AB970">
      <w:start w:val="5"/>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85528D4"/>
    <w:multiLevelType w:val="hybridMultilevel"/>
    <w:tmpl w:val="11F407EC"/>
    <w:lvl w:ilvl="0" w:tplc="04240001">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EBC5A71"/>
    <w:multiLevelType w:val="hybridMultilevel"/>
    <w:tmpl w:val="E7ECE5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9B7C78"/>
    <w:multiLevelType w:val="hybridMultilevel"/>
    <w:tmpl w:val="8976F25A"/>
    <w:lvl w:ilvl="0" w:tplc="3D22BF4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905D6"/>
    <w:multiLevelType w:val="hybridMultilevel"/>
    <w:tmpl w:val="E97E1A84"/>
    <w:lvl w:ilvl="0" w:tplc="0EE020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EF10FC"/>
    <w:multiLevelType w:val="hybridMultilevel"/>
    <w:tmpl w:val="9C341F00"/>
    <w:lvl w:ilvl="0" w:tplc="04240001">
      <w:start w:val="1"/>
      <w:numFmt w:val="bullet"/>
      <w:lvlText w:val=""/>
      <w:lvlJc w:val="left"/>
      <w:pPr>
        <w:tabs>
          <w:tab w:val="num" w:pos="3240"/>
        </w:tabs>
        <w:ind w:left="3240" w:hanging="360"/>
      </w:pPr>
      <w:rPr>
        <w:rFonts w:ascii="Symbol" w:hAnsi="Symbol" w:hint="default"/>
      </w:rPr>
    </w:lvl>
    <w:lvl w:ilvl="1" w:tplc="04240003" w:tentative="1">
      <w:start w:val="1"/>
      <w:numFmt w:val="bullet"/>
      <w:lvlText w:val="o"/>
      <w:lvlJc w:val="left"/>
      <w:pPr>
        <w:tabs>
          <w:tab w:val="num" w:pos="3960"/>
        </w:tabs>
        <w:ind w:left="3960" w:hanging="360"/>
      </w:pPr>
      <w:rPr>
        <w:rFonts w:ascii="Courier New" w:hAnsi="Courier New" w:cs="Courier New" w:hint="default"/>
      </w:rPr>
    </w:lvl>
    <w:lvl w:ilvl="2" w:tplc="04240005" w:tentative="1">
      <w:start w:val="1"/>
      <w:numFmt w:val="bullet"/>
      <w:lvlText w:val=""/>
      <w:lvlJc w:val="left"/>
      <w:pPr>
        <w:tabs>
          <w:tab w:val="num" w:pos="4680"/>
        </w:tabs>
        <w:ind w:left="4680" w:hanging="360"/>
      </w:pPr>
      <w:rPr>
        <w:rFonts w:ascii="Wingdings" w:hAnsi="Wingdings" w:hint="default"/>
      </w:rPr>
    </w:lvl>
    <w:lvl w:ilvl="3" w:tplc="04240001" w:tentative="1">
      <w:start w:val="1"/>
      <w:numFmt w:val="bullet"/>
      <w:lvlText w:val=""/>
      <w:lvlJc w:val="left"/>
      <w:pPr>
        <w:tabs>
          <w:tab w:val="num" w:pos="5400"/>
        </w:tabs>
        <w:ind w:left="5400" w:hanging="360"/>
      </w:pPr>
      <w:rPr>
        <w:rFonts w:ascii="Symbol" w:hAnsi="Symbol" w:hint="default"/>
      </w:rPr>
    </w:lvl>
    <w:lvl w:ilvl="4" w:tplc="04240003" w:tentative="1">
      <w:start w:val="1"/>
      <w:numFmt w:val="bullet"/>
      <w:lvlText w:val="o"/>
      <w:lvlJc w:val="left"/>
      <w:pPr>
        <w:tabs>
          <w:tab w:val="num" w:pos="6120"/>
        </w:tabs>
        <w:ind w:left="6120" w:hanging="360"/>
      </w:pPr>
      <w:rPr>
        <w:rFonts w:ascii="Courier New" w:hAnsi="Courier New" w:cs="Courier New" w:hint="default"/>
      </w:rPr>
    </w:lvl>
    <w:lvl w:ilvl="5" w:tplc="04240005" w:tentative="1">
      <w:start w:val="1"/>
      <w:numFmt w:val="bullet"/>
      <w:lvlText w:val=""/>
      <w:lvlJc w:val="left"/>
      <w:pPr>
        <w:tabs>
          <w:tab w:val="num" w:pos="6840"/>
        </w:tabs>
        <w:ind w:left="6840" w:hanging="360"/>
      </w:pPr>
      <w:rPr>
        <w:rFonts w:ascii="Wingdings" w:hAnsi="Wingdings" w:hint="default"/>
      </w:rPr>
    </w:lvl>
    <w:lvl w:ilvl="6" w:tplc="04240001" w:tentative="1">
      <w:start w:val="1"/>
      <w:numFmt w:val="bullet"/>
      <w:lvlText w:val=""/>
      <w:lvlJc w:val="left"/>
      <w:pPr>
        <w:tabs>
          <w:tab w:val="num" w:pos="7560"/>
        </w:tabs>
        <w:ind w:left="7560" w:hanging="360"/>
      </w:pPr>
      <w:rPr>
        <w:rFonts w:ascii="Symbol" w:hAnsi="Symbol" w:hint="default"/>
      </w:rPr>
    </w:lvl>
    <w:lvl w:ilvl="7" w:tplc="04240003" w:tentative="1">
      <w:start w:val="1"/>
      <w:numFmt w:val="bullet"/>
      <w:lvlText w:val="o"/>
      <w:lvlJc w:val="left"/>
      <w:pPr>
        <w:tabs>
          <w:tab w:val="num" w:pos="8280"/>
        </w:tabs>
        <w:ind w:left="8280" w:hanging="360"/>
      </w:pPr>
      <w:rPr>
        <w:rFonts w:ascii="Courier New" w:hAnsi="Courier New" w:cs="Courier New" w:hint="default"/>
      </w:rPr>
    </w:lvl>
    <w:lvl w:ilvl="8" w:tplc="0424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55DD4B44"/>
    <w:multiLevelType w:val="hybridMultilevel"/>
    <w:tmpl w:val="5F72164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1D58D9"/>
    <w:multiLevelType w:val="hybridMultilevel"/>
    <w:tmpl w:val="F2D43726"/>
    <w:lvl w:ilvl="0" w:tplc="6EFE8746">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9DC6488"/>
    <w:multiLevelType w:val="hybridMultilevel"/>
    <w:tmpl w:val="C60E7D74"/>
    <w:lvl w:ilvl="0" w:tplc="120EDFD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7CE70111"/>
    <w:multiLevelType w:val="hybridMultilevel"/>
    <w:tmpl w:val="D4F0972E"/>
    <w:lvl w:ilvl="0" w:tplc="43B6F89A">
      <w:start w:val="7"/>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3"/>
  </w:num>
  <w:num w:numId="6">
    <w:abstractNumId w:val="9"/>
  </w:num>
  <w:num w:numId="7">
    <w:abstractNumId w:val="7"/>
  </w:num>
  <w:num w:numId="8">
    <w:abstractNumId w:val="0"/>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C0"/>
    <w:rsid w:val="0000445C"/>
    <w:rsid w:val="00006E50"/>
    <w:rsid w:val="000179F0"/>
    <w:rsid w:val="00030F20"/>
    <w:rsid w:val="0004298A"/>
    <w:rsid w:val="000532D3"/>
    <w:rsid w:val="0007798F"/>
    <w:rsid w:val="000833C8"/>
    <w:rsid w:val="00083C68"/>
    <w:rsid w:val="000B1DCB"/>
    <w:rsid w:val="000E3519"/>
    <w:rsid w:val="000F0679"/>
    <w:rsid w:val="00122345"/>
    <w:rsid w:val="00126461"/>
    <w:rsid w:val="00135B86"/>
    <w:rsid w:val="00167D1A"/>
    <w:rsid w:val="00170616"/>
    <w:rsid w:val="00175F68"/>
    <w:rsid w:val="001876AD"/>
    <w:rsid w:val="001A1A16"/>
    <w:rsid w:val="001F0EC6"/>
    <w:rsid w:val="001F6B26"/>
    <w:rsid w:val="002354DE"/>
    <w:rsid w:val="002459D4"/>
    <w:rsid w:val="002D6454"/>
    <w:rsid w:val="002E208B"/>
    <w:rsid w:val="00305AAA"/>
    <w:rsid w:val="00311763"/>
    <w:rsid w:val="00327CEA"/>
    <w:rsid w:val="003504C8"/>
    <w:rsid w:val="00380BD6"/>
    <w:rsid w:val="00384E31"/>
    <w:rsid w:val="003E000B"/>
    <w:rsid w:val="003E7125"/>
    <w:rsid w:val="003F291A"/>
    <w:rsid w:val="00400289"/>
    <w:rsid w:val="00423CCB"/>
    <w:rsid w:val="00426FD6"/>
    <w:rsid w:val="00427DD9"/>
    <w:rsid w:val="00431F63"/>
    <w:rsid w:val="004370F3"/>
    <w:rsid w:val="00441580"/>
    <w:rsid w:val="00455151"/>
    <w:rsid w:val="004559F4"/>
    <w:rsid w:val="0046212B"/>
    <w:rsid w:val="00475864"/>
    <w:rsid w:val="004C786A"/>
    <w:rsid w:val="004F5AE6"/>
    <w:rsid w:val="00502CF0"/>
    <w:rsid w:val="00513108"/>
    <w:rsid w:val="00527252"/>
    <w:rsid w:val="00577C82"/>
    <w:rsid w:val="005B2206"/>
    <w:rsid w:val="005B4D94"/>
    <w:rsid w:val="005B5E34"/>
    <w:rsid w:val="005C1EE3"/>
    <w:rsid w:val="005D0757"/>
    <w:rsid w:val="005E76AE"/>
    <w:rsid w:val="005F245A"/>
    <w:rsid w:val="00602658"/>
    <w:rsid w:val="00616F11"/>
    <w:rsid w:val="00624910"/>
    <w:rsid w:val="0062527F"/>
    <w:rsid w:val="0066056A"/>
    <w:rsid w:val="0066281D"/>
    <w:rsid w:val="006A0018"/>
    <w:rsid w:val="006C3F14"/>
    <w:rsid w:val="006C6B19"/>
    <w:rsid w:val="006E496E"/>
    <w:rsid w:val="006F1F66"/>
    <w:rsid w:val="00705DDB"/>
    <w:rsid w:val="00706D9A"/>
    <w:rsid w:val="00707017"/>
    <w:rsid w:val="00714286"/>
    <w:rsid w:val="00715D50"/>
    <w:rsid w:val="00741971"/>
    <w:rsid w:val="00742437"/>
    <w:rsid w:val="00757F91"/>
    <w:rsid w:val="00766225"/>
    <w:rsid w:val="00771728"/>
    <w:rsid w:val="007E18B0"/>
    <w:rsid w:val="007E3C95"/>
    <w:rsid w:val="007E7D42"/>
    <w:rsid w:val="00811014"/>
    <w:rsid w:val="00824D8A"/>
    <w:rsid w:val="008420C7"/>
    <w:rsid w:val="00847582"/>
    <w:rsid w:val="008567A0"/>
    <w:rsid w:val="00866B16"/>
    <w:rsid w:val="00894205"/>
    <w:rsid w:val="008A0DFE"/>
    <w:rsid w:val="008A5816"/>
    <w:rsid w:val="008D3679"/>
    <w:rsid w:val="008D57F9"/>
    <w:rsid w:val="009028A8"/>
    <w:rsid w:val="00903A3C"/>
    <w:rsid w:val="00914A82"/>
    <w:rsid w:val="00924E21"/>
    <w:rsid w:val="00935857"/>
    <w:rsid w:val="0094500B"/>
    <w:rsid w:val="009467D0"/>
    <w:rsid w:val="00950D68"/>
    <w:rsid w:val="00965271"/>
    <w:rsid w:val="009815E0"/>
    <w:rsid w:val="009A52FE"/>
    <w:rsid w:val="009C1102"/>
    <w:rsid w:val="009D10D4"/>
    <w:rsid w:val="009D22A9"/>
    <w:rsid w:val="009D3848"/>
    <w:rsid w:val="009F757F"/>
    <w:rsid w:val="00A47A49"/>
    <w:rsid w:val="00A607C2"/>
    <w:rsid w:val="00A649B9"/>
    <w:rsid w:val="00A71BCF"/>
    <w:rsid w:val="00A72AEA"/>
    <w:rsid w:val="00A769E8"/>
    <w:rsid w:val="00A77B1D"/>
    <w:rsid w:val="00AD0C17"/>
    <w:rsid w:val="00AD777F"/>
    <w:rsid w:val="00AE32EB"/>
    <w:rsid w:val="00AF4A23"/>
    <w:rsid w:val="00B01757"/>
    <w:rsid w:val="00B224E0"/>
    <w:rsid w:val="00B35830"/>
    <w:rsid w:val="00B4378C"/>
    <w:rsid w:val="00B530C8"/>
    <w:rsid w:val="00B66FE2"/>
    <w:rsid w:val="00B857F1"/>
    <w:rsid w:val="00B926A8"/>
    <w:rsid w:val="00BA59E0"/>
    <w:rsid w:val="00BA68B6"/>
    <w:rsid w:val="00BB2E50"/>
    <w:rsid w:val="00BE5AA3"/>
    <w:rsid w:val="00BF22F1"/>
    <w:rsid w:val="00BF3AA8"/>
    <w:rsid w:val="00C04227"/>
    <w:rsid w:val="00C21898"/>
    <w:rsid w:val="00C6019D"/>
    <w:rsid w:val="00C774BB"/>
    <w:rsid w:val="00C820A8"/>
    <w:rsid w:val="00C86738"/>
    <w:rsid w:val="00CA5347"/>
    <w:rsid w:val="00CA7BC0"/>
    <w:rsid w:val="00CD1598"/>
    <w:rsid w:val="00CD7EA0"/>
    <w:rsid w:val="00CE1DDA"/>
    <w:rsid w:val="00D144D0"/>
    <w:rsid w:val="00D14BAD"/>
    <w:rsid w:val="00D23FE3"/>
    <w:rsid w:val="00D25C9D"/>
    <w:rsid w:val="00D34F6C"/>
    <w:rsid w:val="00D4712E"/>
    <w:rsid w:val="00D50DC9"/>
    <w:rsid w:val="00D70FB2"/>
    <w:rsid w:val="00D81BA8"/>
    <w:rsid w:val="00D90A83"/>
    <w:rsid w:val="00DA7590"/>
    <w:rsid w:val="00DF629A"/>
    <w:rsid w:val="00E06FD9"/>
    <w:rsid w:val="00E14188"/>
    <w:rsid w:val="00E31654"/>
    <w:rsid w:val="00E522AE"/>
    <w:rsid w:val="00E53014"/>
    <w:rsid w:val="00E63509"/>
    <w:rsid w:val="00E641F8"/>
    <w:rsid w:val="00E8645A"/>
    <w:rsid w:val="00ED3766"/>
    <w:rsid w:val="00EF6FAB"/>
    <w:rsid w:val="00EF72ED"/>
    <w:rsid w:val="00F074A3"/>
    <w:rsid w:val="00F42398"/>
    <w:rsid w:val="00F55554"/>
    <w:rsid w:val="00F66334"/>
    <w:rsid w:val="00F91FDF"/>
    <w:rsid w:val="00FC0670"/>
    <w:rsid w:val="00FC3A57"/>
    <w:rsid w:val="00FD504E"/>
    <w:rsid w:val="00FF66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ecff,#ddd,#3291cd"/>
    </o:shapedefaults>
    <o:shapelayout v:ext="edit">
      <o:idmap v:ext="edit" data="1"/>
    </o:shapelayout>
  </w:shapeDefaults>
  <w:decimalSymbol w:val=","/>
  <w:listSeparator w:val=";"/>
  <w15:chartTrackingRefBased/>
  <w15:docId w15:val="{E7EFA08D-0075-4EE9-814E-7062B079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D0757"/>
    <w:pPr>
      <w:spacing w:after="90"/>
    </w:pPr>
    <w:rPr>
      <w:rFonts w:ascii="Tahoma" w:hAnsi="Tahoma"/>
      <w:sz w:val="24"/>
      <w:szCs w:val="24"/>
    </w:rPr>
  </w:style>
  <w:style w:type="paragraph" w:styleId="Naslov1">
    <w:name w:val="heading 1"/>
    <w:basedOn w:val="Navaden"/>
    <w:next w:val="Navaden"/>
    <w:qFormat/>
    <w:rsid w:val="005D0757"/>
    <w:pPr>
      <w:spacing w:before="360" w:after="270"/>
      <w:outlineLvl w:val="0"/>
    </w:pPr>
    <w:rPr>
      <w:rFonts w:cs="Tahoma"/>
      <w:b/>
      <w:color w:val="99CC00"/>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C774BB"/>
    <w:pPr>
      <w:tabs>
        <w:tab w:val="center" w:pos="4153"/>
        <w:tab w:val="right" w:pos="8306"/>
      </w:tabs>
    </w:pPr>
  </w:style>
  <w:style w:type="paragraph" w:styleId="Noga">
    <w:name w:val="footer"/>
    <w:basedOn w:val="Navaden"/>
    <w:rsid w:val="00C774BB"/>
    <w:pPr>
      <w:tabs>
        <w:tab w:val="center" w:pos="4153"/>
        <w:tab w:val="right" w:pos="8306"/>
      </w:tabs>
    </w:pPr>
  </w:style>
  <w:style w:type="character" w:styleId="tevilkastrani">
    <w:name w:val="page number"/>
    <w:basedOn w:val="Privzetapisavaodstavka"/>
    <w:rsid w:val="00C774BB"/>
  </w:style>
  <w:style w:type="paragraph" w:styleId="Navadensplet">
    <w:name w:val="Normal (Web)"/>
    <w:basedOn w:val="Navaden"/>
    <w:rsid w:val="00C774BB"/>
    <w:pPr>
      <w:spacing w:after="258" w:line="258" w:lineRule="atLeast"/>
      <w:jc w:val="both"/>
    </w:pPr>
    <w:rPr>
      <w:sz w:val="20"/>
      <w:szCs w:val="20"/>
    </w:rPr>
  </w:style>
  <w:style w:type="table" w:styleId="Tabelamrea">
    <w:name w:val="Table Grid"/>
    <w:basedOn w:val="Navadnatabela"/>
    <w:rsid w:val="00D90A83"/>
    <w:pPr>
      <w:spacing w:after="9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avaden"/>
    <w:rsid w:val="006F1F66"/>
    <w:pPr>
      <w:autoSpaceDE w:val="0"/>
      <w:autoSpaceDN w:val="0"/>
      <w:adjustRightInd w:val="0"/>
      <w:spacing w:after="0" w:line="288" w:lineRule="auto"/>
      <w:textAlignment w:val="center"/>
    </w:pPr>
    <w:rPr>
      <w:rFonts w:ascii="Arial" w:hAnsi="Arial"/>
      <w:color w:val="000000"/>
      <w:lang w:val="en-GB"/>
    </w:rPr>
  </w:style>
  <w:style w:type="character" w:customStyle="1" w:styleId="TAJDAPELICON">
    <w:name w:val="TAJDA PELICON"/>
    <w:semiHidden/>
    <w:rsid w:val="00A649B9"/>
    <w:rPr>
      <w:rFonts w:ascii="Arial" w:hAnsi="Arial" w:cs="Arial"/>
      <w:color w:val="000080"/>
      <w:sz w:val="20"/>
      <w:szCs w:val="20"/>
    </w:rPr>
  </w:style>
  <w:style w:type="character" w:styleId="Hiperpovezava">
    <w:name w:val="Hyperlink"/>
    <w:rsid w:val="00B926A8"/>
    <w:rPr>
      <w:color w:val="0000FF"/>
      <w:u w:val="single"/>
    </w:rPr>
  </w:style>
  <w:style w:type="paragraph" w:styleId="Besedilooblaka">
    <w:name w:val="Balloon Text"/>
    <w:basedOn w:val="Navaden"/>
    <w:semiHidden/>
    <w:rsid w:val="005C1EE3"/>
    <w:rPr>
      <w:rFonts w:cs="Tahoma"/>
      <w:sz w:val="16"/>
      <w:szCs w:val="16"/>
    </w:rPr>
  </w:style>
  <w:style w:type="paragraph" w:styleId="Odstavekseznama">
    <w:name w:val="List Paragraph"/>
    <w:basedOn w:val="Navaden"/>
    <w:uiPriority w:val="34"/>
    <w:qFormat/>
    <w:rsid w:val="00527252"/>
    <w:pPr>
      <w:spacing w:after="0"/>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88426">
      <w:bodyDiv w:val="1"/>
      <w:marLeft w:val="0"/>
      <w:marRight w:val="0"/>
      <w:marTop w:val="0"/>
      <w:marBottom w:val="0"/>
      <w:divBdr>
        <w:top w:val="none" w:sz="0" w:space="0" w:color="auto"/>
        <w:left w:val="none" w:sz="0" w:space="0" w:color="auto"/>
        <w:bottom w:val="none" w:sz="0" w:space="0" w:color="auto"/>
        <w:right w:val="none" w:sz="0" w:space="0" w:color="auto"/>
      </w:divBdr>
    </w:div>
    <w:div w:id="509102953">
      <w:bodyDiv w:val="1"/>
      <w:marLeft w:val="0"/>
      <w:marRight w:val="0"/>
      <w:marTop w:val="0"/>
      <w:marBottom w:val="0"/>
      <w:divBdr>
        <w:top w:val="none" w:sz="0" w:space="0" w:color="auto"/>
        <w:left w:val="none" w:sz="0" w:space="0" w:color="auto"/>
        <w:bottom w:val="none" w:sz="0" w:space="0" w:color="auto"/>
        <w:right w:val="none" w:sz="0" w:space="0" w:color="auto"/>
      </w:divBdr>
    </w:div>
    <w:div w:id="520706937">
      <w:bodyDiv w:val="1"/>
      <w:marLeft w:val="0"/>
      <w:marRight w:val="0"/>
      <w:marTop w:val="0"/>
      <w:marBottom w:val="0"/>
      <w:divBdr>
        <w:top w:val="none" w:sz="0" w:space="0" w:color="auto"/>
        <w:left w:val="none" w:sz="0" w:space="0" w:color="auto"/>
        <w:bottom w:val="none" w:sz="0" w:space="0" w:color="auto"/>
        <w:right w:val="none" w:sz="0" w:space="0" w:color="auto"/>
      </w:divBdr>
      <w:divsChild>
        <w:div w:id="1323781233">
          <w:marLeft w:val="0"/>
          <w:marRight w:val="0"/>
          <w:marTop w:val="0"/>
          <w:marBottom w:val="0"/>
          <w:divBdr>
            <w:top w:val="none" w:sz="0" w:space="0" w:color="auto"/>
            <w:left w:val="none" w:sz="0" w:space="0" w:color="auto"/>
            <w:bottom w:val="none" w:sz="0" w:space="0" w:color="auto"/>
            <w:right w:val="none" w:sz="0" w:space="0" w:color="auto"/>
          </w:divBdr>
          <w:divsChild>
            <w:div w:id="1995602928">
              <w:marLeft w:val="0"/>
              <w:marRight w:val="0"/>
              <w:marTop w:val="111"/>
              <w:marBottom w:val="0"/>
              <w:divBdr>
                <w:top w:val="single" w:sz="6" w:space="6" w:color="666666"/>
                <w:left w:val="none" w:sz="0" w:space="0" w:color="auto"/>
                <w:bottom w:val="none" w:sz="0" w:space="0" w:color="auto"/>
                <w:right w:val="none" w:sz="0" w:space="0" w:color="auto"/>
              </w:divBdr>
            </w:div>
          </w:divsChild>
        </w:div>
      </w:divsChild>
    </w:div>
    <w:div w:id="986938110">
      <w:bodyDiv w:val="1"/>
      <w:marLeft w:val="0"/>
      <w:marRight w:val="0"/>
      <w:marTop w:val="0"/>
      <w:marBottom w:val="0"/>
      <w:divBdr>
        <w:top w:val="none" w:sz="0" w:space="0" w:color="auto"/>
        <w:left w:val="none" w:sz="0" w:space="0" w:color="auto"/>
        <w:bottom w:val="none" w:sz="0" w:space="0" w:color="auto"/>
        <w:right w:val="none" w:sz="0" w:space="0" w:color="auto"/>
      </w:divBdr>
    </w:div>
    <w:div w:id="1755932259">
      <w:bodyDiv w:val="1"/>
      <w:marLeft w:val="0"/>
      <w:marRight w:val="0"/>
      <w:marTop w:val="0"/>
      <w:marBottom w:val="0"/>
      <w:divBdr>
        <w:top w:val="none" w:sz="0" w:space="0" w:color="auto"/>
        <w:left w:val="none" w:sz="0" w:space="0" w:color="auto"/>
        <w:bottom w:val="none" w:sz="0" w:space="0" w:color="auto"/>
        <w:right w:val="none" w:sz="0" w:space="0" w:color="auto"/>
      </w:divBdr>
    </w:div>
    <w:div w:id="2007828771">
      <w:bodyDiv w:val="1"/>
      <w:marLeft w:val="0"/>
      <w:marRight w:val="0"/>
      <w:marTop w:val="0"/>
      <w:marBottom w:val="0"/>
      <w:divBdr>
        <w:top w:val="none" w:sz="0" w:space="0" w:color="auto"/>
        <w:left w:val="none" w:sz="0" w:space="0" w:color="auto"/>
        <w:bottom w:val="none" w:sz="0" w:space="0" w:color="auto"/>
        <w:right w:val="none" w:sz="0" w:space="0" w:color="auto"/>
      </w:divBdr>
    </w:div>
    <w:div w:id="2089618880">
      <w:bodyDiv w:val="1"/>
      <w:marLeft w:val="0"/>
      <w:marRight w:val="0"/>
      <w:marTop w:val="0"/>
      <w:marBottom w:val="0"/>
      <w:divBdr>
        <w:top w:val="none" w:sz="0" w:space="0" w:color="auto"/>
        <w:left w:val="none" w:sz="0" w:space="0" w:color="auto"/>
        <w:bottom w:val="none" w:sz="0" w:space="0" w:color="auto"/>
        <w:right w:val="none" w:sz="0" w:space="0" w:color="auto"/>
      </w:divBdr>
      <w:divsChild>
        <w:div w:id="143546883">
          <w:marLeft w:val="0"/>
          <w:marRight w:val="0"/>
          <w:marTop w:val="0"/>
          <w:marBottom w:val="0"/>
          <w:divBdr>
            <w:top w:val="none" w:sz="0" w:space="0" w:color="auto"/>
            <w:left w:val="none" w:sz="0" w:space="0" w:color="auto"/>
            <w:bottom w:val="none" w:sz="0" w:space="0" w:color="auto"/>
            <w:right w:val="none" w:sz="0" w:space="0" w:color="auto"/>
          </w:divBdr>
        </w:div>
        <w:div w:id="263854136">
          <w:marLeft w:val="0"/>
          <w:marRight w:val="0"/>
          <w:marTop w:val="0"/>
          <w:marBottom w:val="0"/>
          <w:divBdr>
            <w:top w:val="none" w:sz="0" w:space="0" w:color="auto"/>
            <w:left w:val="none" w:sz="0" w:space="0" w:color="auto"/>
            <w:bottom w:val="none" w:sz="0" w:space="0" w:color="auto"/>
            <w:right w:val="none" w:sz="0" w:space="0" w:color="auto"/>
          </w:divBdr>
        </w:div>
        <w:div w:id="351035091">
          <w:marLeft w:val="0"/>
          <w:marRight w:val="0"/>
          <w:marTop w:val="0"/>
          <w:marBottom w:val="0"/>
          <w:divBdr>
            <w:top w:val="none" w:sz="0" w:space="0" w:color="auto"/>
            <w:left w:val="none" w:sz="0" w:space="0" w:color="auto"/>
            <w:bottom w:val="none" w:sz="0" w:space="0" w:color="auto"/>
            <w:right w:val="none" w:sz="0" w:space="0" w:color="auto"/>
          </w:divBdr>
        </w:div>
        <w:div w:id="390347159">
          <w:marLeft w:val="0"/>
          <w:marRight w:val="0"/>
          <w:marTop w:val="0"/>
          <w:marBottom w:val="0"/>
          <w:divBdr>
            <w:top w:val="none" w:sz="0" w:space="0" w:color="auto"/>
            <w:left w:val="none" w:sz="0" w:space="0" w:color="auto"/>
            <w:bottom w:val="none" w:sz="0" w:space="0" w:color="auto"/>
            <w:right w:val="none" w:sz="0" w:space="0" w:color="auto"/>
          </w:divBdr>
        </w:div>
        <w:div w:id="899749249">
          <w:marLeft w:val="0"/>
          <w:marRight w:val="0"/>
          <w:marTop w:val="0"/>
          <w:marBottom w:val="0"/>
          <w:divBdr>
            <w:top w:val="none" w:sz="0" w:space="0" w:color="auto"/>
            <w:left w:val="none" w:sz="0" w:space="0" w:color="auto"/>
            <w:bottom w:val="none" w:sz="0" w:space="0" w:color="auto"/>
            <w:right w:val="none" w:sz="0" w:space="0" w:color="auto"/>
          </w:divBdr>
        </w:div>
        <w:div w:id="949629033">
          <w:marLeft w:val="0"/>
          <w:marRight w:val="0"/>
          <w:marTop w:val="0"/>
          <w:marBottom w:val="0"/>
          <w:divBdr>
            <w:top w:val="none" w:sz="0" w:space="0" w:color="auto"/>
            <w:left w:val="none" w:sz="0" w:space="0" w:color="auto"/>
            <w:bottom w:val="none" w:sz="0" w:space="0" w:color="auto"/>
            <w:right w:val="none" w:sz="0" w:space="0" w:color="auto"/>
          </w:divBdr>
        </w:div>
        <w:div w:id="1020819110">
          <w:marLeft w:val="0"/>
          <w:marRight w:val="0"/>
          <w:marTop w:val="0"/>
          <w:marBottom w:val="0"/>
          <w:divBdr>
            <w:top w:val="none" w:sz="0" w:space="0" w:color="auto"/>
            <w:left w:val="none" w:sz="0" w:space="0" w:color="auto"/>
            <w:bottom w:val="none" w:sz="0" w:space="0" w:color="auto"/>
            <w:right w:val="none" w:sz="0" w:space="0" w:color="auto"/>
          </w:divBdr>
        </w:div>
        <w:div w:id="1360625416">
          <w:marLeft w:val="0"/>
          <w:marRight w:val="0"/>
          <w:marTop w:val="0"/>
          <w:marBottom w:val="0"/>
          <w:divBdr>
            <w:top w:val="none" w:sz="0" w:space="0" w:color="auto"/>
            <w:left w:val="none" w:sz="0" w:space="0" w:color="auto"/>
            <w:bottom w:val="none" w:sz="0" w:space="0" w:color="auto"/>
            <w:right w:val="none" w:sz="0" w:space="0" w:color="auto"/>
          </w:divBdr>
        </w:div>
        <w:div w:id="1810778744">
          <w:marLeft w:val="0"/>
          <w:marRight w:val="0"/>
          <w:marTop w:val="0"/>
          <w:marBottom w:val="0"/>
          <w:divBdr>
            <w:top w:val="none" w:sz="0" w:space="0" w:color="auto"/>
            <w:left w:val="none" w:sz="0" w:space="0" w:color="auto"/>
            <w:bottom w:val="none" w:sz="0" w:space="0" w:color="auto"/>
            <w:right w:val="none" w:sz="0" w:space="0" w:color="auto"/>
          </w:divBdr>
        </w:div>
        <w:div w:id="1844011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519</Words>
  <Characters>2960</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lpstr>
    </vt:vector>
  </TitlesOfParts>
  <Company>Gospodarska Zbornica Slovenije</Company>
  <LinksUpToDate>false</LinksUpToDate>
  <CharactersWithSpaces>3473</CharactersWithSpaces>
  <SharedDoc>false</SharedDoc>
  <HLinks>
    <vt:vector size="6" baseType="variant">
      <vt:variant>
        <vt:i4>1114140</vt:i4>
      </vt:variant>
      <vt:variant>
        <vt:i4>0</vt:i4>
      </vt:variant>
      <vt:variant>
        <vt:i4>0</vt:i4>
      </vt:variant>
      <vt:variant>
        <vt:i4>5</vt:i4>
      </vt:variant>
      <vt:variant>
        <vt:lpwstr>http://www.mgrt.gov.si/fileadmin/mgrt.gov.si/pageuploads/DPK/splosno_mnenje_MGRT_o_davcnih_olajsavah_CETRTO_2016_POPRAVEK.pdf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Tajda Pelicon</cp:lastModifiedBy>
  <cp:revision>6</cp:revision>
  <cp:lastPrinted>2013-11-15T10:23:00Z</cp:lastPrinted>
  <dcterms:created xsi:type="dcterms:W3CDTF">2016-10-28T09:44:00Z</dcterms:created>
  <dcterms:modified xsi:type="dcterms:W3CDTF">2016-10-28T10:33:00Z</dcterms:modified>
</cp:coreProperties>
</file>