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92" w:rsidRPr="006F3FCA" w:rsidRDefault="000A2C92" w:rsidP="00DC6A71">
      <w:pPr>
        <w:pStyle w:val="datumtevilka"/>
      </w:pPr>
      <w:bookmarkStart w:id="0" w:name="NazivSubjekta"/>
      <w:bookmarkEnd w:id="0"/>
    </w:p>
    <w:p w:rsidR="007D75CF" w:rsidRPr="006F3FCA" w:rsidRDefault="007D75CF" w:rsidP="007D75CF">
      <w:pPr>
        <w:rPr>
          <w:lang w:val="sl-SI"/>
        </w:rPr>
      </w:pPr>
    </w:p>
    <w:p w:rsidR="00067989" w:rsidRDefault="00F8765D" w:rsidP="00067989">
      <w:pPr>
        <w:jc w:val="center"/>
        <w:rPr>
          <w:b/>
          <w:sz w:val="24"/>
          <w:lang w:val="sl-SI"/>
        </w:rPr>
      </w:pPr>
      <w:r w:rsidRPr="00067989">
        <w:rPr>
          <w:b/>
          <w:sz w:val="24"/>
          <w:lang w:val="sl-SI"/>
        </w:rPr>
        <w:t xml:space="preserve">Zakon o začasnih ukrepih v zvezi s sodnimi, upravnimi in drugimi javnopravnimi zadevami za obvladovanje širjenja nalezljive bolezni </w:t>
      </w:r>
    </w:p>
    <w:p w:rsidR="00F8765D" w:rsidRPr="003378A4" w:rsidRDefault="00F8765D" w:rsidP="00067989">
      <w:pPr>
        <w:jc w:val="center"/>
        <w:rPr>
          <w:b/>
          <w:noProof/>
          <w:color w:val="FF0000"/>
          <w:szCs w:val="20"/>
          <w:lang w:val="sl-SI"/>
        </w:rPr>
      </w:pPr>
      <w:r w:rsidRPr="00067989">
        <w:rPr>
          <w:b/>
          <w:sz w:val="24"/>
          <w:lang w:val="sl-SI"/>
        </w:rPr>
        <w:t>SARS-CoV-2 (COVID-19) (</w:t>
      </w:r>
      <w:r w:rsidRPr="00067989">
        <w:rPr>
          <w:b/>
          <w:noProof/>
          <w:sz w:val="24"/>
          <w:lang w:val="sl-SI"/>
        </w:rPr>
        <w:t>ZZUSUDJZ)</w:t>
      </w:r>
      <w:r w:rsidR="00B9298D">
        <w:rPr>
          <w:b/>
          <w:noProof/>
          <w:sz w:val="24"/>
          <w:lang w:val="sl-SI"/>
        </w:rPr>
        <w:t xml:space="preserve"> </w:t>
      </w:r>
      <w:r w:rsidR="00B9298D" w:rsidRPr="003378A4">
        <w:rPr>
          <w:b/>
          <w:noProof/>
          <w:color w:val="FF0000"/>
          <w:szCs w:val="20"/>
          <w:lang w:val="sl-SI"/>
        </w:rPr>
        <w:t>(spremenjeno*)</w:t>
      </w:r>
    </w:p>
    <w:p w:rsidR="00B9298D" w:rsidRPr="003378A4" w:rsidRDefault="00B9298D" w:rsidP="00067989">
      <w:pPr>
        <w:jc w:val="center"/>
        <w:rPr>
          <w:rFonts w:cs="Arial"/>
          <w:b/>
          <w:szCs w:val="20"/>
          <w:lang w:val="sl-SI"/>
        </w:rPr>
      </w:pPr>
      <w:r w:rsidRPr="003378A4">
        <w:rPr>
          <w:b/>
          <w:noProof/>
          <w:color w:val="FF0000"/>
          <w:szCs w:val="20"/>
          <w:vertAlign w:val="superscript"/>
          <w:lang w:val="sl-SI"/>
        </w:rPr>
        <w:t>*</w:t>
      </w:r>
      <w:r w:rsidRPr="003378A4">
        <w:rPr>
          <w:b/>
          <w:noProof/>
          <w:color w:val="FF0000"/>
          <w:szCs w:val="20"/>
          <w:lang w:val="sl-SI"/>
        </w:rPr>
        <w:t>spremembe so označene z rdečo</w:t>
      </w:r>
    </w:p>
    <w:p w:rsidR="007D75CF" w:rsidRPr="006F3FCA" w:rsidRDefault="00F8765D" w:rsidP="00DC6A71">
      <w:pPr>
        <w:pStyle w:val="ZADEVA"/>
        <w:rPr>
          <w:lang w:val="sl-SI"/>
        </w:rPr>
      </w:pPr>
      <w:r w:rsidRPr="006F3FCA">
        <w:rPr>
          <w:lang w:val="sl-SI"/>
        </w:rPr>
        <w:tab/>
      </w:r>
    </w:p>
    <w:p w:rsidR="007D75CF" w:rsidRPr="006F3FCA" w:rsidRDefault="007D75CF" w:rsidP="007D75CF">
      <w:pPr>
        <w:rPr>
          <w:lang w:val="sl-SI"/>
        </w:rPr>
      </w:pPr>
    </w:p>
    <w:p w:rsidR="00F8765D" w:rsidRPr="006F3FCA" w:rsidRDefault="00F8765D" w:rsidP="00F8765D">
      <w:pPr>
        <w:spacing w:line="260" w:lineRule="exact"/>
        <w:jc w:val="both"/>
        <w:rPr>
          <w:noProof/>
          <w:lang w:val="sl-SI"/>
        </w:rPr>
      </w:pPr>
      <w:r w:rsidRPr="006F3FCA">
        <w:rPr>
          <w:noProof/>
          <w:lang w:val="sl-SI"/>
        </w:rPr>
        <w:t xml:space="preserve">V Uradnem listu RS, št. 36/2020, z dne 28. 3. 2020, je bil objavljen Zakon o začasnih ukrepih v zvezi s sodnimi, upravnimi in drugimi javnopravnimi zadevami za obvladovanje širjenja nalezljive bolezni SARS-CoV-2 (COVID-19) (ZZUSUDJZ), ki je začel veljati 29. 3. 2020.  </w:t>
      </w:r>
    </w:p>
    <w:p w:rsidR="00F8765D" w:rsidRPr="006F3FCA" w:rsidRDefault="00F8765D" w:rsidP="00F8765D">
      <w:pPr>
        <w:spacing w:line="260" w:lineRule="exact"/>
        <w:jc w:val="both"/>
        <w:rPr>
          <w:noProof/>
          <w:lang w:val="sl-SI"/>
        </w:rPr>
      </w:pPr>
    </w:p>
    <w:p w:rsidR="00F8765D" w:rsidRPr="006F3FCA" w:rsidRDefault="00F8765D" w:rsidP="00F8765D">
      <w:pPr>
        <w:jc w:val="both"/>
        <w:rPr>
          <w:noProof/>
          <w:lang w:val="sl-SI"/>
        </w:rPr>
      </w:pPr>
      <w:r w:rsidRPr="006F3FCA">
        <w:rPr>
          <w:noProof/>
          <w:lang w:val="sl-SI"/>
        </w:rPr>
        <w:t xml:space="preserve">Ukrepi po tem zakonu tako veljajo od </w:t>
      </w:r>
      <w:r w:rsidRPr="006F3FCA">
        <w:rPr>
          <w:b/>
          <w:noProof/>
          <w:lang w:val="sl-SI"/>
        </w:rPr>
        <w:t>29. 3. 2020</w:t>
      </w:r>
      <w:r w:rsidRPr="006F3FCA">
        <w:rPr>
          <w:noProof/>
          <w:lang w:val="sl-SI"/>
        </w:rPr>
        <w:t xml:space="preserve"> do prenehanja razlogov zanje, kar bo ugotovila Vlada </w:t>
      </w:r>
      <w:r w:rsidRPr="006F3FCA">
        <w:rPr>
          <w:rFonts w:cs="Arial"/>
          <w:szCs w:val="20"/>
          <w:lang w:val="sl-SI"/>
        </w:rPr>
        <w:t xml:space="preserve">Republike Slovenije </w:t>
      </w:r>
      <w:r w:rsidRPr="006F3FCA">
        <w:rPr>
          <w:noProof/>
          <w:lang w:val="sl-SI"/>
        </w:rPr>
        <w:t xml:space="preserve">s </w:t>
      </w:r>
      <w:r w:rsidRPr="006F3FCA">
        <w:rPr>
          <w:b/>
          <w:noProof/>
          <w:lang w:val="sl-SI"/>
        </w:rPr>
        <w:t>sklepom</w:t>
      </w:r>
      <w:r w:rsidRPr="006F3FCA">
        <w:rPr>
          <w:noProof/>
          <w:lang w:val="sl-SI"/>
        </w:rPr>
        <w:t xml:space="preserve">, ki bo objavljen v Uradnem listu RS, vendar najdlje do </w:t>
      </w:r>
      <w:r w:rsidRPr="006F3FCA">
        <w:rPr>
          <w:b/>
          <w:noProof/>
          <w:lang w:val="sl-SI"/>
        </w:rPr>
        <w:t>1. julija 2020</w:t>
      </w:r>
      <w:r w:rsidRPr="006F3FCA">
        <w:rPr>
          <w:noProof/>
          <w:lang w:val="sl-SI"/>
        </w:rPr>
        <w:t xml:space="preserve">. </w:t>
      </w:r>
    </w:p>
    <w:p w:rsidR="00F8765D" w:rsidRPr="006F3FCA" w:rsidRDefault="00F8765D" w:rsidP="00F8765D">
      <w:pPr>
        <w:spacing w:line="260" w:lineRule="exact"/>
        <w:jc w:val="both"/>
        <w:rPr>
          <w:noProof/>
          <w:lang w:val="sl-SI"/>
        </w:rPr>
      </w:pPr>
    </w:p>
    <w:p w:rsidR="00F8765D" w:rsidRPr="006F3FCA" w:rsidRDefault="00F8765D" w:rsidP="00F8765D">
      <w:pPr>
        <w:spacing w:line="260" w:lineRule="exact"/>
        <w:jc w:val="both"/>
        <w:rPr>
          <w:noProof/>
          <w:lang w:val="sl-SI"/>
        </w:rPr>
      </w:pPr>
      <w:r w:rsidRPr="006F3FCA">
        <w:rPr>
          <w:noProof/>
          <w:lang w:val="sl-SI"/>
        </w:rPr>
        <w:t>V nadaljevanju so pojasnjeni bistveni ukrepi, ki se tičejo postopkov pri Finančni upravi Republike Slovenije.</w:t>
      </w:r>
    </w:p>
    <w:p w:rsidR="00F8765D" w:rsidRPr="006F3FCA" w:rsidRDefault="00F8765D" w:rsidP="00F8765D">
      <w:pPr>
        <w:jc w:val="both"/>
        <w:rPr>
          <w:noProof/>
          <w:lang w:val="sl-SI"/>
        </w:rPr>
      </w:pPr>
    </w:p>
    <w:p w:rsidR="00F8765D" w:rsidRPr="006F3FCA" w:rsidRDefault="00F8765D" w:rsidP="00F8765D">
      <w:pPr>
        <w:jc w:val="both"/>
        <w:rPr>
          <w:noProof/>
          <w:lang w:val="sl-SI"/>
        </w:rPr>
      </w:pPr>
    </w:p>
    <w:p w:rsidR="00F8765D" w:rsidRPr="006F3FCA" w:rsidRDefault="00F8765D" w:rsidP="00F8765D">
      <w:pPr>
        <w:numPr>
          <w:ilvl w:val="0"/>
          <w:numId w:val="9"/>
        </w:numPr>
        <w:contextualSpacing/>
        <w:jc w:val="both"/>
        <w:rPr>
          <w:rFonts w:eastAsia="Calibri"/>
          <w:b/>
          <w:noProof/>
          <w:lang w:val="sl-SI"/>
        </w:rPr>
      </w:pPr>
      <w:r w:rsidRPr="006F3FCA">
        <w:rPr>
          <w:rFonts w:eastAsia="Calibri"/>
          <w:b/>
          <w:noProof/>
          <w:lang w:val="sl-SI"/>
        </w:rPr>
        <w:t xml:space="preserve">Splošno o začasnih ukrepih </w:t>
      </w:r>
    </w:p>
    <w:p w:rsidR="00F8765D" w:rsidRPr="006F3FCA" w:rsidRDefault="00F8765D" w:rsidP="00F8765D">
      <w:pPr>
        <w:jc w:val="both"/>
        <w:rPr>
          <w:b/>
          <w:noProof/>
          <w:lang w:val="sl-SI"/>
        </w:rPr>
      </w:pPr>
    </w:p>
    <w:p w:rsidR="00F8765D" w:rsidRPr="006F3FCA" w:rsidRDefault="00F8765D" w:rsidP="00F8765D">
      <w:pPr>
        <w:jc w:val="both"/>
        <w:rPr>
          <w:noProof/>
          <w:lang w:val="sl-SI"/>
        </w:rPr>
      </w:pPr>
      <w:r w:rsidRPr="006F3FCA">
        <w:rPr>
          <w:noProof/>
          <w:lang w:val="sl-SI"/>
        </w:rPr>
        <w:t xml:space="preserve">Z namenom preprečitve širjenja virusne okužbe, varovanja zdravja in življenja ljudi in zagotovitve delovanja posameznih državnih organov, organov lokalnih skupnosti in nosilcev javnih pooblastil ter zagotavljanja izvajanja pravic in obveznosti, so s tem zakonom določeni začasni ukrepi v zvezi z upravnimi in drugimi postopki. Ukrepi se nanašajo na področje teka rokov, vročanja, vlaganja vlog ter na ustne obravnave in druga procesna dejanja.  </w:t>
      </w:r>
    </w:p>
    <w:p w:rsidR="00F8765D" w:rsidRPr="006F3FCA" w:rsidRDefault="00F8765D" w:rsidP="00F8765D">
      <w:pPr>
        <w:jc w:val="both"/>
        <w:rPr>
          <w:noProof/>
          <w:lang w:val="sl-SI"/>
        </w:rPr>
      </w:pPr>
    </w:p>
    <w:p w:rsidR="00F8765D" w:rsidRPr="006F3FCA" w:rsidRDefault="00F8765D" w:rsidP="00F8765D">
      <w:pPr>
        <w:jc w:val="both"/>
        <w:rPr>
          <w:noProof/>
          <w:lang w:val="sl-SI"/>
        </w:rPr>
      </w:pPr>
      <w:r w:rsidRPr="006F3FCA">
        <w:rPr>
          <w:noProof/>
          <w:lang w:val="sl-SI"/>
        </w:rPr>
        <w:t xml:space="preserve">V zvezi z začasnimi ukrepi poudarjamo, da večina teh ukrepov ne velja za </w:t>
      </w:r>
      <w:r w:rsidRPr="006F3FCA">
        <w:rPr>
          <w:b/>
          <w:noProof/>
          <w:lang w:val="sl-SI"/>
        </w:rPr>
        <w:t>nujne zadeve</w:t>
      </w:r>
      <w:r w:rsidRPr="006F3FCA">
        <w:rPr>
          <w:noProof/>
          <w:lang w:val="sl-SI"/>
        </w:rPr>
        <w:t xml:space="preserve">, kot jih določa ta zakon. Po tem zakonu so nujne zadeve tiste, kjer obstaja nevarnost za življenje in zdravje ljudi, za javni red in mir, za javno varnost, za premoženje večje vrednosti, če je od odločitve v zadevi odvisno preživljanje stranke, če je od odločitve odvisno uveljavljanje drugih pravic, ali če je to nujno za učinkovito izvajanje oblasti za dosego namena tega zakona. </w:t>
      </w:r>
    </w:p>
    <w:p w:rsidR="00F8765D" w:rsidRPr="006F3FCA" w:rsidRDefault="00F8765D" w:rsidP="00F8765D">
      <w:pPr>
        <w:jc w:val="both"/>
        <w:rPr>
          <w:noProof/>
          <w:lang w:val="sl-SI"/>
        </w:rPr>
      </w:pPr>
    </w:p>
    <w:p w:rsidR="00F8765D" w:rsidRPr="006F3FCA" w:rsidRDefault="00F8765D" w:rsidP="00F8765D">
      <w:pPr>
        <w:jc w:val="both"/>
        <w:rPr>
          <w:noProof/>
          <w:lang w:val="sl-SI"/>
        </w:rPr>
      </w:pPr>
      <w:r w:rsidRPr="006F3FCA">
        <w:rPr>
          <w:noProof/>
          <w:lang w:val="sl-SI"/>
        </w:rPr>
        <w:t xml:space="preserve">Redno pobiranje davčnih obveznosti je nujno za redno delovanje države in samoupravnih lokalnih skupnosti, še posebej v razmerah razglašene epidemije, ko se povečajo izdatki državnega proračuna. Morebitne nezmožnosti plačila davčnih obveznosti se rešujejo s siceršnjimi ugodnejšimi načini odplačevanja davka (101. do 103. člen ZDavP-2, ter drugimi ukrepi, sprejetimi z interventnimi zakoni (npr. Zakon o interventnih ukrepih na javnofinančnem področju) ter plačilnimi olajšavami v okviru carinske zakonodaje. </w:t>
      </w:r>
    </w:p>
    <w:p w:rsidR="00F8765D" w:rsidRPr="006F3FCA" w:rsidRDefault="00F8765D" w:rsidP="00F8765D">
      <w:pPr>
        <w:jc w:val="both"/>
        <w:rPr>
          <w:rFonts w:eastAsia="Calibri" w:cs="Arial"/>
          <w:szCs w:val="20"/>
          <w:lang w:val="sl-SI"/>
        </w:rPr>
      </w:pPr>
    </w:p>
    <w:p w:rsidR="00F8765D" w:rsidRPr="006F3FCA" w:rsidRDefault="00F8765D" w:rsidP="00F8765D">
      <w:pPr>
        <w:jc w:val="both"/>
        <w:rPr>
          <w:noProof/>
          <w:lang w:val="sl-SI"/>
        </w:rPr>
      </w:pPr>
      <w:r w:rsidRPr="006F3FCA">
        <w:rPr>
          <w:noProof/>
          <w:lang w:val="sl-SI"/>
        </w:rPr>
        <w:t xml:space="preserve">Tako bo </w:t>
      </w:r>
      <w:r w:rsidRPr="006F3FCA">
        <w:rPr>
          <w:rFonts w:eastAsia="Calibri" w:cs="Arial"/>
          <w:szCs w:val="20"/>
          <w:lang w:val="sl-SI"/>
        </w:rPr>
        <w:t xml:space="preserve">FURS še naprej izvajal redne </w:t>
      </w:r>
      <w:r w:rsidRPr="006F3FCA">
        <w:rPr>
          <w:rFonts w:eastAsia="Calibri" w:cs="Arial"/>
          <w:b/>
          <w:szCs w:val="20"/>
          <w:lang w:val="sl-SI"/>
        </w:rPr>
        <w:t>odmere davčnih obveznosti</w:t>
      </w:r>
      <w:r w:rsidRPr="006F3FCA">
        <w:rPr>
          <w:rFonts w:eastAsia="Calibri" w:cs="Arial"/>
          <w:szCs w:val="20"/>
          <w:lang w:val="sl-SI"/>
        </w:rPr>
        <w:t xml:space="preserve"> na podlagi napovedi davčnih zavezancev, izdajal informativne izračune dohodnine, odmerjal nadomestilo za uporabo stavbnega zemljišča, ter</w:t>
      </w:r>
      <w:r w:rsidR="006510FE" w:rsidRPr="006F3FCA">
        <w:rPr>
          <w:rFonts w:eastAsia="Calibri" w:cs="Arial"/>
          <w:szCs w:val="20"/>
          <w:lang w:val="sl-SI"/>
        </w:rPr>
        <w:t xml:space="preserve"> izvajal</w:t>
      </w:r>
      <w:r w:rsidRPr="006F3FCA">
        <w:rPr>
          <w:rFonts w:eastAsia="Calibri" w:cs="Arial"/>
          <w:szCs w:val="20"/>
          <w:lang w:val="sl-SI"/>
        </w:rPr>
        <w:t xml:space="preserve"> druge nujne postopke - npr. </w:t>
      </w:r>
      <w:r w:rsidRPr="006F3FCA">
        <w:rPr>
          <w:rFonts w:eastAsia="Calibri" w:cs="Arial"/>
          <w:b/>
          <w:szCs w:val="20"/>
          <w:lang w:val="sl-SI"/>
        </w:rPr>
        <w:t>carinske postopke</w:t>
      </w:r>
      <w:r w:rsidRPr="006F3FCA">
        <w:rPr>
          <w:rFonts w:eastAsia="Calibri" w:cs="Arial"/>
          <w:szCs w:val="20"/>
          <w:lang w:val="sl-SI"/>
        </w:rPr>
        <w:t xml:space="preserve">; postopke </w:t>
      </w:r>
      <w:r w:rsidRPr="006F3FCA">
        <w:rPr>
          <w:rFonts w:eastAsia="Calibri" w:cs="Arial"/>
          <w:b/>
          <w:szCs w:val="20"/>
          <w:lang w:val="sl-SI"/>
        </w:rPr>
        <w:t>odločanja o vlogah zavezancev za odpis, delni odpis, odlog ali obročno plačevanje davka v skladu z ZDavP-2 (101., 102. in 103. člen) ter ZIUJP</w:t>
      </w:r>
      <w:r w:rsidRPr="006F3FCA">
        <w:rPr>
          <w:rFonts w:eastAsia="Calibri" w:cs="Arial"/>
          <w:szCs w:val="20"/>
          <w:lang w:val="sl-SI"/>
        </w:rPr>
        <w:t xml:space="preserve">, saj je v teh primerih od odločitve v zadevi odvisno preživljanje stranke oz. uveljavljanje drugih pravic; smiselno enako velja za izdajo </w:t>
      </w:r>
      <w:r w:rsidR="002B3C5B" w:rsidRPr="006F3FCA">
        <w:rPr>
          <w:rFonts w:eastAsia="Calibri" w:cs="Arial"/>
          <w:b/>
          <w:szCs w:val="20"/>
          <w:lang w:val="sl-SI"/>
        </w:rPr>
        <w:t xml:space="preserve">sklepov o </w:t>
      </w:r>
      <w:r w:rsidRPr="006F3FCA">
        <w:rPr>
          <w:rFonts w:eastAsia="Calibri" w:cs="Arial"/>
          <w:b/>
          <w:szCs w:val="20"/>
          <w:lang w:val="sl-SI"/>
        </w:rPr>
        <w:t>zadržanju davčne izvršbe</w:t>
      </w:r>
      <w:r w:rsidR="000A6F7F" w:rsidRPr="006F3FCA">
        <w:rPr>
          <w:rFonts w:eastAsia="Calibri" w:cs="Arial"/>
          <w:b/>
          <w:szCs w:val="20"/>
          <w:lang w:val="sl-SI"/>
        </w:rPr>
        <w:t xml:space="preserve"> zaradi odobrenih plačilnih ugodnostih oziroma sklepov o ustavitvi davčne izvršbe </w:t>
      </w:r>
      <w:r w:rsidR="000A6F7F" w:rsidRPr="006F3FCA">
        <w:rPr>
          <w:rFonts w:eastAsia="Calibri" w:cs="Arial"/>
          <w:szCs w:val="20"/>
          <w:lang w:val="sl-SI"/>
        </w:rPr>
        <w:t>v primerih, ko ni več zakonskih razlogov za vodenje tega postopka</w:t>
      </w:r>
      <w:r w:rsidRPr="006F3FCA">
        <w:rPr>
          <w:rFonts w:eastAsia="Calibri" w:cs="Arial"/>
          <w:szCs w:val="20"/>
          <w:lang w:val="sl-SI"/>
        </w:rPr>
        <w:t xml:space="preserve"> ipd. To pomeni, da začasni ukrepi za te zadeve ne veljajo: procesni roki (npr. za vložitev pritožbe, za dopolnitev vloge) ter materialni roki (npr. za izpolnitev davčne obveznosti) tečejo redno in se ne prekinejo; izvajajo se ustne obravnave in druga procesna dejanja, kjer so uradna oseba, stranka ali drug udeleženec lahko v neposrednem stiku; dokumenti se vročajo po doslej veljavnih pravilih itd. </w:t>
      </w:r>
    </w:p>
    <w:p w:rsidR="00F8765D" w:rsidRPr="006F3FCA" w:rsidRDefault="00F8765D" w:rsidP="00F8765D">
      <w:pPr>
        <w:jc w:val="both"/>
        <w:rPr>
          <w:rFonts w:eastAsia="Calibri" w:cs="Arial"/>
          <w:szCs w:val="20"/>
          <w:lang w:val="sl-SI"/>
        </w:rPr>
      </w:pPr>
    </w:p>
    <w:p w:rsidR="00F8765D" w:rsidRPr="006F3FCA" w:rsidRDefault="00F8765D" w:rsidP="00F8765D">
      <w:pPr>
        <w:jc w:val="both"/>
        <w:rPr>
          <w:rFonts w:eastAsia="Calibri" w:cs="Arial"/>
          <w:szCs w:val="20"/>
          <w:lang w:val="sl-SI"/>
        </w:rPr>
      </w:pPr>
      <w:r w:rsidRPr="006F3FCA">
        <w:rPr>
          <w:rFonts w:eastAsia="Calibri" w:cs="Arial"/>
          <w:szCs w:val="20"/>
          <w:lang w:val="sl-SI"/>
        </w:rPr>
        <w:t xml:space="preserve">V primeru izvajanja drugih postopkov, ki </w:t>
      </w:r>
      <w:r w:rsidRPr="006F3FCA">
        <w:rPr>
          <w:rFonts w:cs="Arial"/>
          <w:b/>
          <w:szCs w:val="20"/>
          <w:lang w:val="sl-SI"/>
        </w:rPr>
        <w:t>niso nujni</w:t>
      </w:r>
      <w:r w:rsidRPr="006F3FCA">
        <w:rPr>
          <w:rFonts w:eastAsia="Calibri" w:cs="Arial"/>
          <w:szCs w:val="20"/>
          <w:lang w:val="sl-SI"/>
        </w:rPr>
        <w:t xml:space="preserve"> (npr.</w:t>
      </w:r>
      <w:r w:rsidRPr="006F3FCA">
        <w:rPr>
          <w:lang w:val="sl-SI"/>
        </w:rPr>
        <w:t xml:space="preserve"> praviloma niso nujni </w:t>
      </w:r>
      <w:r w:rsidRPr="006F3FCA">
        <w:rPr>
          <w:rFonts w:eastAsia="Calibri" w:cs="Arial"/>
          <w:szCs w:val="20"/>
          <w:lang w:val="sl-SI"/>
        </w:rPr>
        <w:t xml:space="preserve">postopki naknadnega nadzora po 129. in 130. členu ZDavP-2, inšpekcijski postopki, prekrškovni postopki, odločanje o obročnem plačilu prekrškovnih obveznosti v skladu z 18. členom ZP-1, ipd.), pa </w:t>
      </w:r>
      <w:r w:rsidR="00BC1C04" w:rsidRPr="00BC1C04">
        <w:rPr>
          <w:rFonts w:eastAsia="Calibri" w:cs="Arial"/>
          <w:color w:val="FF0000"/>
          <w:szCs w:val="20"/>
          <w:lang w:val="sl-SI"/>
        </w:rPr>
        <w:t xml:space="preserve">načeloma </w:t>
      </w:r>
      <w:r w:rsidRPr="006F3FCA">
        <w:rPr>
          <w:rFonts w:eastAsia="Calibri" w:cs="Arial"/>
          <w:szCs w:val="20"/>
          <w:lang w:val="sl-SI"/>
        </w:rPr>
        <w:t xml:space="preserve">vsi spodaj navedeni ukrepi veljajo (vključno z ukrepom, da v času trajanja izrednih ukrepov, ne tečejo procesni in materialni roki). </w:t>
      </w:r>
    </w:p>
    <w:p w:rsidR="00F8765D" w:rsidRPr="006F3FCA" w:rsidRDefault="00F8765D" w:rsidP="00F8765D">
      <w:pPr>
        <w:jc w:val="both"/>
        <w:rPr>
          <w:b/>
          <w:noProof/>
          <w:lang w:val="sl-SI"/>
        </w:rPr>
      </w:pPr>
    </w:p>
    <w:p w:rsidR="00F8765D" w:rsidRPr="006F3FCA" w:rsidRDefault="00F8765D" w:rsidP="00F8765D">
      <w:pPr>
        <w:jc w:val="both"/>
        <w:rPr>
          <w:b/>
          <w:noProof/>
          <w:lang w:val="sl-SI"/>
        </w:rPr>
      </w:pPr>
    </w:p>
    <w:p w:rsidR="00F8765D" w:rsidRPr="006F3FCA" w:rsidRDefault="00F8765D" w:rsidP="00F8765D">
      <w:pPr>
        <w:numPr>
          <w:ilvl w:val="0"/>
          <w:numId w:val="9"/>
        </w:numPr>
        <w:spacing w:after="200" w:line="276" w:lineRule="auto"/>
        <w:contextualSpacing/>
        <w:jc w:val="both"/>
        <w:rPr>
          <w:rFonts w:eastAsia="Calibri" w:cs="Arial"/>
          <w:b/>
          <w:szCs w:val="20"/>
          <w:lang w:val="sl-SI"/>
        </w:rPr>
      </w:pPr>
      <w:r w:rsidRPr="006F3FCA">
        <w:rPr>
          <w:rFonts w:eastAsia="Calibri" w:cs="Arial"/>
          <w:b/>
          <w:szCs w:val="20"/>
          <w:lang w:val="sl-SI"/>
        </w:rPr>
        <w:t xml:space="preserve">Vrste ukrepov </w:t>
      </w:r>
    </w:p>
    <w:p w:rsidR="00F8765D" w:rsidRPr="006F3FCA" w:rsidRDefault="00F8765D" w:rsidP="00F8765D">
      <w:pPr>
        <w:spacing w:after="200" w:line="276" w:lineRule="auto"/>
        <w:ind w:left="1080"/>
        <w:contextualSpacing/>
        <w:jc w:val="both"/>
        <w:rPr>
          <w:rFonts w:eastAsia="Calibri" w:cs="Arial"/>
          <w:b/>
          <w:szCs w:val="20"/>
          <w:lang w:val="sl-SI"/>
        </w:rPr>
      </w:pPr>
    </w:p>
    <w:p w:rsidR="00F8765D" w:rsidRPr="006F3FCA" w:rsidRDefault="00F8765D" w:rsidP="00F8765D">
      <w:pPr>
        <w:numPr>
          <w:ilvl w:val="0"/>
          <w:numId w:val="6"/>
        </w:numPr>
        <w:contextualSpacing/>
        <w:jc w:val="both"/>
        <w:rPr>
          <w:rFonts w:eastAsia="Calibri" w:cs="Arial"/>
          <w:b/>
          <w:szCs w:val="20"/>
          <w:lang w:val="sl-SI"/>
        </w:rPr>
      </w:pPr>
      <w:r w:rsidRPr="006F3FCA">
        <w:rPr>
          <w:rFonts w:cs="Arial"/>
          <w:b/>
          <w:szCs w:val="20"/>
          <w:lang w:val="sl-SI"/>
        </w:rPr>
        <w:t>Tek rokov</w:t>
      </w:r>
      <w:r w:rsidRPr="006F3FCA">
        <w:rPr>
          <w:rFonts w:eastAsia="Calibri" w:cs="Arial"/>
          <w:b/>
          <w:szCs w:val="20"/>
          <w:lang w:val="sl-SI"/>
        </w:rPr>
        <w:t xml:space="preserve"> za opravljanje procesnih dejanj in izpolnitev materialnih obveznosti</w:t>
      </w:r>
    </w:p>
    <w:p w:rsidR="00F8765D" w:rsidRPr="006F3FCA" w:rsidRDefault="00F8765D" w:rsidP="00F8765D">
      <w:pPr>
        <w:ind w:left="720"/>
        <w:contextualSpacing/>
        <w:jc w:val="both"/>
        <w:rPr>
          <w:rFonts w:eastAsia="Calibri" w:cs="Arial"/>
          <w:b/>
          <w:szCs w:val="20"/>
          <w:lang w:val="sl-SI"/>
        </w:rPr>
      </w:pPr>
    </w:p>
    <w:p w:rsidR="00F8765D" w:rsidRPr="006F3FCA" w:rsidRDefault="00F8765D" w:rsidP="00F8765D">
      <w:pPr>
        <w:jc w:val="both"/>
        <w:rPr>
          <w:rFonts w:cs="Arial"/>
          <w:szCs w:val="20"/>
          <w:lang w:val="sl-SI"/>
        </w:rPr>
      </w:pPr>
      <w:r w:rsidRPr="006F3FCA">
        <w:rPr>
          <w:rFonts w:cs="Arial"/>
          <w:szCs w:val="20"/>
          <w:lang w:val="sl-SI"/>
        </w:rPr>
        <w:t>ROKI TEČEJO:</w:t>
      </w:r>
    </w:p>
    <w:p w:rsidR="00F8765D" w:rsidRPr="006F3FCA" w:rsidRDefault="00F8765D" w:rsidP="00F8765D">
      <w:pPr>
        <w:pStyle w:val="Odstavekseznama"/>
        <w:spacing w:after="0" w:line="260" w:lineRule="atLeast"/>
        <w:jc w:val="both"/>
        <w:rPr>
          <w:rFonts w:ascii="Arial" w:eastAsia="Times New Roman" w:hAnsi="Arial" w:cs="Arial"/>
          <w:sz w:val="20"/>
          <w:szCs w:val="20"/>
        </w:rPr>
      </w:pPr>
    </w:p>
    <w:p w:rsidR="00F8765D" w:rsidRPr="006F3FCA" w:rsidRDefault="00F8765D" w:rsidP="00F8765D">
      <w:pPr>
        <w:pStyle w:val="Odstavekseznama"/>
        <w:numPr>
          <w:ilvl w:val="0"/>
          <w:numId w:val="11"/>
        </w:numPr>
        <w:spacing w:after="0" w:line="260" w:lineRule="atLeast"/>
        <w:jc w:val="both"/>
        <w:rPr>
          <w:rFonts w:ascii="Arial" w:eastAsia="Times New Roman" w:hAnsi="Arial" w:cs="Arial"/>
          <w:sz w:val="20"/>
          <w:szCs w:val="20"/>
        </w:rPr>
      </w:pPr>
      <w:r w:rsidRPr="006F3FCA">
        <w:rPr>
          <w:rFonts w:ascii="Arial" w:eastAsia="Times New Roman" w:hAnsi="Arial" w:cs="Arial"/>
          <w:b/>
          <w:sz w:val="20"/>
          <w:szCs w:val="20"/>
        </w:rPr>
        <w:t>V nujnih zadevah</w:t>
      </w:r>
      <w:r w:rsidRPr="006F3FCA">
        <w:rPr>
          <w:rFonts w:ascii="Arial" w:eastAsia="Times New Roman" w:hAnsi="Arial" w:cs="Arial"/>
          <w:sz w:val="20"/>
          <w:szCs w:val="20"/>
        </w:rPr>
        <w:t xml:space="preserve"> – npr. postopki odmere davka, carinski postopki, predložitev obračuna, postopki odpisa, odloga in obročnega odplačevanja, ustavitve oz. zadržanja davčne izvršbe ipd.:</w:t>
      </w:r>
    </w:p>
    <w:p w:rsidR="00F8765D" w:rsidRPr="006F3FCA" w:rsidRDefault="00F8765D" w:rsidP="00F8765D">
      <w:pPr>
        <w:pStyle w:val="Odstavekseznama"/>
        <w:spacing w:after="0" w:line="260" w:lineRule="atLeast"/>
        <w:jc w:val="both"/>
        <w:rPr>
          <w:rFonts w:ascii="Arial" w:eastAsia="Times New Roman" w:hAnsi="Arial" w:cs="Arial"/>
          <w:sz w:val="20"/>
          <w:szCs w:val="20"/>
        </w:rPr>
      </w:pPr>
      <w:r w:rsidRPr="006F3FCA">
        <w:rPr>
          <w:rFonts w:ascii="Arial" w:eastAsia="Times New Roman" w:hAnsi="Arial" w:cs="Arial"/>
          <w:sz w:val="20"/>
          <w:szCs w:val="20"/>
        </w:rPr>
        <w:t>ROKI TEČEJO, kar pomeni, da morajo stranke in organ svoje obveznosti oz. pravice izpolniti oz. uveljaviti v roku (npr. dopolniti vlogo, plačati davek, vložiti pritožbo, izdati odločbo ipd.). O teku rokov bo stranka obveščena v prejetem dokumentu.</w:t>
      </w:r>
    </w:p>
    <w:p w:rsidR="00F8765D" w:rsidRPr="006F3FCA" w:rsidRDefault="00F8765D" w:rsidP="00F8765D">
      <w:pPr>
        <w:jc w:val="both"/>
        <w:rPr>
          <w:rFonts w:cs="Arial"/>
          <w:szCs w:val="20"/>
          <w:lang w:val="sl-SI"/>
        </w:rPr>
      </w:pPr>
    </w:p>
    <w:p w:rsidR="00F8765D" w:rsidRPr="006F3FCA" w:rsidRDefault="00F8765D" w:rsidP="00F8765D">
      <w:pPr>
        <w:jc w:val="both"/>
        <w:rPr>
          <w:rFonts w:cs="Arial"/>
          <w:szCs w:val="20"/>
          <w:lang w:val="sl-SI"/>
        </w:rPr>
      </w:pPr>
      <w:r w:rsidRPr="006F3FCA">
        <w:rPr>
          <w:rFonts w:cs="Arial"/>
          <w:szCs w:val="20"/>
          <w:lang w:val="sl-SI"/>
        </w:rPr>
        <w:t>ROKI NE TEČEJO OZ. SE PODALJŠAJO:</w:t>
      </w:r>
    </w:p>
    <w:p w:rsidR="00F8765D" w:rsidRPr="006F3FCA" w:rsidRDefault="00F8765D" w:rsidP="00F8765D">
      <w:pPr>
        <w:jc w:val="both"/>
        <w:rPr>
          <w:rFonts w:cs="Arial"/>
          <w:szCs w:val="20"/>
          <w:lang w:val="sl-SI"/>
        </w:rPr>
      </w:pPr>
    </w:p>
    <w:p w:rsidR="00F8765D" w:rsidRPr="006F3FCA" w:rsidRDefault="00F8765D" w:rsidP="00F8765D">
      <w:pPr>
        <w:pStyle w:val="Odstavekseznama"/>
        <w:numPr>
          <w:ilvl w:val="0"/>
          <w:numId w:val="11"/>
        </w:numPr>
        <w:spacing w:after="0" w:line="260" w:lineRule="atLeast"/>
        <w:jc w:val="both"/>
        <w:rPr>
          <w:rFonts w:ascii="Arial" w:eastAsia="Times New Roman" w:hAnsi="Arial" w:cs="Arial"/>
          <w:sz w:val="20"/>
          <w:szCs w:val="20"/>
        </w:rPr>
      </w:pPr>
      <w:r w:rsidRPr="006F3FCA">
        <w:rPr>
          <w:rFonts w:ascii="Arial" w:eastAsia="Times New Roman" w:hAnsi="Arial" w:cs="Arial"/>
          <w:b/>
          <w:sz w:val="20"/>
          <w:szCs w:val="20"/>
        </w:rPr>
        <w:t>V zadevah, ki niso nujne</w:t>
      </w:r>
      <w:r w:rsidRPr="006F3FCA">
        <w:rPr>
          <w:rFonts w:ascii="Arial" w:eastAsia="Times New Roman" w:hAnsi="Arial" w:cs="Arial"/>
          <w:sz w:val="20"/>
          <w:szCs w:val="20"/>
        </w:rPr>
        <w:t xml:space="preserve"> – npr. postopki naknadnega nadzora po 129. in 130. členu ZDavP-2, praviloma tudi davčni inšpekcijski postopki ipd.:</w:t>
      </w:r>
    </w:p>
    <w:p w:rsidR="00F8765D" w:rsidRPr="006F3FCA" w:rsidRDefault="00F8765D" w:rsidP="00F8765D">
      <w:pPr>
        <w:pStyle w:val="Odstavekseznama"/>
        <w:spacing w:after="0" w:line="260" w:lineRule="atLeast"/>
        <w:jc w:val="both"/>
        <w:rPr>
          <w:rFonts w:ascii="Arial" w:eastAsia="Times New Roman" w:hAnsi="Arial" w:cs="Arial"/>
          <w:sz w:val="20"/>
          <w:szCs w:val="20"/>
        </w:rPr>
      </w:pPr>
      <w:r w:rsidRPr="006F3FCA">
        <w:rPr>
          <w:rFonts w:ascii="Arial" w:eastAsia="Times New Roman" w:hAnsi="Arial" w:cs="Arial"/>
          <w:sz w:val="20"/>
          <w:szCs w:val="20"/>
        </w:rPr>
        <w:t>ROKI NE TEČEJO, kar pomeni, da lahko stranke in organ svoje obveznosti oz. pravice izpolnijo oz. uveljavijo po prenehanju ukrepov (npr. dopolniti vlogo, plačati davek, vložiti pritožbo, izdati odločbo ipd.).</w:t>
      </w:r>
    </w:p>
    <w:p w:rsidR="00F8765D" w:rsidRPr="006F3FCA" w:rsidRDefault="00F8765D" w:rsidP="00F8765D">
      <w:pPr>
        <w:jc w:val="both"/>
        <w:rPr>
          <w:rFonts w:cs="Arial"/>
          <w:szCs w:val="20"/>
          <w:lang w:val="sl-SI"/>
        </w:rPr>
      </w:pPr>
    </w:p>
    <w:p w:rsidR="00F8765D" w:rsidRPr="006F3FCA" w:rsidRDefault="00F8765D" w:rsidP="00F8765D">
      <w:pPr>
        <w:pStyle w:val="Odstavekseznama"/>
        <w:numPr>
          <w:ilvl w:val="0"/>
          <w:numId w:val="11"/>
        </w:numPr>
        <w:spacing w:after="0" w:line="260" w:lineRule="atLeast"/>
        <w:jc w:val="both"/>
        <w:rPr>
          <w:rFonts w:ascii="Arial" w:eastAsia="Times New Roman" w:hAnsi="Arial" w:cs="Arial"/>
          <w:b/>
          <w:sz w:val="20"/>
          <w:szCs w:val="20"/>
        </w:rPr>
      </w:pPr>
      <w:r w:rsidRPr="006F3FCA">
        <w:rPr>
          <w:rFonts w:ascii="Arial" w:eastAsia="Times New Roman" w:hAnsi="Arial" w:cs="Arial"/>
          <w:b/>
          <w:sz w:val="20"/>
          <w:szCs w:val="20"/>
        </w:rPr>
        <w:t xml:space="preserve">Tudi v prekrškovnih postopkih </w:t>
      </w:r>
      <w:r w:rsidRPr="006F3FCA">
        <w:rPr>
          <w:rFonts w:ascii="Arial" w:eastAsia="Times New Roman" w:hAnsi="Arial" w:cs="Arial"/>
          <w:sz w:val="20"/>
          <w:szCs w:val="20"/>
        </w:rPr>
        <w:t>ROKI NE TEČEJO. Izjema velja za prekrškovne postopke v nujnih zadevah, kateri se lahko začnejo ali nadaljujejo, rok se ne prekine, o navedenem pa mora biti storilec obveščen.</w:t>
      </w:r>
    </w:p>
    <w:p w:rsidR="00F8765D" w:rsidRPr="006F3FCA" w:rsidRDefault="00F8765D" w:rsidP="00F8765D">
      <w:pPr>
        <w:jc w:val="both"/>
        <w:rPr>
          <w:rFonts w:cs="Arial"/>
          <w:szCs w:val="20"/>
          <w:lang w:val="sl-SI"/>
        </w:rPr>
      </w:pPr>
    </w:p>
    <w:p w:rsidR="00F8765D" w:rsidRPr="006F3FCA" w:rsidRDefault="00F8765D" w:rsidP="00F8765D">
      <w:pPr>
        <w:pStyle w:val="Odstavekseznama"/>
        <w:numPr>
          <w:ilvl w:val="0"/>
          <w:numId w:val="11"/>
        </w:numPr>
        <w:spacing w:after="0" w:line="260" w:lineRule="atLeast"/>
        <w:jc w:val="both"/>
        <w:rPr>
          <w:rFonts w:ascii="Arial" w:eastAsia="Times New Roman" w:hAnsi="Arial" w:cs="Arial"/>
          <w:b/>
          <w:sz w:val="20"/>
          <w:szCs w:val="20"/>
        </w:rPr>
      </w:pPr>
      <w:r w:rsidRPr="006F3FCA">
        <w:rPr>
          <w:rFonts w:ascii="Arial" w:eastAsia="Times New Roman" w:hAnsi="Arial" w:cs="Arial"/>
          <w:b/>
          <w:sz w:val="20"/>
          <w:szCs w:val="20"/>
        </w:rPr>
        <w:t>V zadevah, v katerih stranke uveljavljajo materialne pravice,</w:t>
      </w:r>
      <w:r w:rsidRPr="006F3FCA">
        <w:rPr>
          <w:rFonts w:ascii="Arial" w:eastAsia="Times New Roman" w:hAnsi="Arial" w:cs="Times New Roman"/>
          <w:sz w:val="20"/>
          <w:szCs w:val="24"/>
        </w:rPr>
        <w:t xml:space="preserve"> pri </w:t>
      </w:r>
      <w:r w:rsidRPr="006F3FCA">
        <w:rPr>
          <w:rFonts w:ascii="Arial" w:eastAsia="Times New Roman" w:hAnsi="Arial" w:cs="Arial"/>
          <w:sz w:val="20"/>
          <w:szCs w:val="20"/>
        </w:rPr>
        <w:t>katerih iztek roka pomeni izgubo pravice, če zahteva ni vložena pravočasno pred iztekom roka – npr. vložitev zahtevka za vračilo trošarine in okoljskih dajatev (letni, mesečni in drugi) ter poročilo oproščenega uporabnika iz 6. točke prvega odstavka 49. člena ZTro-1</w:t>
      </w:r>
      <w:r w:rsidR="00BC1C04">
        <w:rPr>
          <w:rFonts w:ascii="Arial" w:eastAsia="Times New Roman" w:hAnsi="Arial" w:cs="Arial"/>
          <w:sz w:val="20"/>
          <w:szCs w:val="20"/>
        </w:rPr>
        <w:t xml:space="preserve">; </w:t>
      </w:r>
      <w:r w:rsidRPr="006F3FCA">
        <w:rPr>
          <w:rFonts w:ascii="Arial" w:eastAsia="Times New Roman" w:hAnsi="Arial" w:cs="Arial"/>
          <w:sz w:val="20"/>
          <w:szCs w:val="20"/>
        </w:rPr>
        <w:t xml:space="preserve">: </w:t>
      </w:r>
    </w:p>
    <w:p w:rsidR="00F8765D" w:rsidRPr="006F3FCA" w:rsidRDefault="00F8765D" w:rsidP="00F8765D">
      <w:pPr>
        <w:pStyle w:val="Odstavekseznama"/>
        <w:spacing w:after="0" w:line="260" w:lineRule="atLeast"/>
        <w:jc w:val="both"/>
        <w:rPr>
          <w:rFonts w:ascii="Arial" w:eastAsia="Times New Roman" w:hAnsi="Arial" w:cs="Arial"/>
          <w:b/>
          <w:sz w:val="20"/>
          <w:szCs w:val="20"/>
        </w:rPr>
      </w:pPr>
      <w:r w:rsidRPr="006F3FCA">
        <w:rPr>
          <w:rFonts w:ascii="Arial" w:eastAsia="Times New Roman" w:hAnsi="Arial" w:cs="Arial"/>
          <w:sz w:val="20"/>
          <w:szCs w:val="20"/>
        </w:rPr>
        <w:t>ROKI SE PODALJŠAJO tako, da se iztečejo osmi dan od prenehanja ukrepov po tem zakonu, tj. osmi dan od izdaje sklepa, s katerim Vlada Republike Slovenije ugotovi prenehanje razlogov za nujne ukrepe po tem zakonu oziroma najkasneje 9. julija 2020.</w:t>
      </w:r>
    </w:p>
    <w:p w:rsidR="00F8765D" w:rsidRPr="006F3FCA" w:rsidRDefault="00F8765D" w:rsidP="00F8765D">
      <w:pPr>
        <w:contextualSpacing/>
        <w:jc w:val="both"/>
        <w:rPr>
          <w:rFonts w:eastAsia="Calibri" w:cs="Arial"/>
          <w:szCs w:val="20"/>
          <w:lang w:val="sl-SI"/>
        </w:rPr>
      </w:pPr>
    </w:p>
    <w:p w:rsidR="00F8765D" w:rsidRPr="006F3FCA" w:rsidRDefault="00F8765D" w:rsidP="00F8765D">
      <w:pPr>
        <w:contextualSpacing/>
        <w:jc w:val="both"/>
        <w:rPr>
          <w:rFonts w:eastAsia="Calibri" w:cs="Arial"/>
          <w:szCs w:val="20"/>
          <w:lang w:val="sl-SI"/>
        </w:rPr>
      </w:pPr>
      <w:r w:rsidRPr="006F3FCA">
        <w:rPr>
          <w:rFonts w:eastAsia="Calibri" w:cs="Arial"/>
          <w:b/>
          <w:szCs w:val="20"/>
          <w:lang w:val="sl-SI"/>
        </w:rPr>
        <w:t>Pomembno obvestilo za stranke</w:t>
      </w:r>
    </w:p>
    <w:p w:rsidR="00F8765D" w:rsidRPr="006F3FCA" w:rsidRDefault="00F8765D" w:rsidP="00F8765D">
      <w:pPr>
        <w:contextualSpacing/>
        <w:jc w:val="both"/>
        <w:rPr>
          <w:rFonts w:eastAsia="Calibri" w:cs="Arial"/>
          <w:szCs w:val="20"/>
          <w:lang w:val="sl-SI"/>
        </w:rPr>
      </w:pPr>
    </w:p>
    <w:p w:rsidR="00F8765D" w:rsidRPr="006F3FCA" w:rsidRDefault="00F8765D" w:rsidP="00F8765D">
      <w:pPr>
        <w:contextualSpacing/>
        <w:jc w:val="both"/>
        <w:rPr>
          <w:rFonts w:eastAsia="Calibri" w:cs="Arial"/>
          <w:szCs w:val="20"/>
          <w:lang w:val="sl-SI"/>
        </w:rPr>
      </w:pPr>
      <w:r w:rsidRPr="006F3FCA">
        <w:rPr>
          <w:rFonts w:eastAsia="Calibri" w:cs="Arial"/>
          <w:szCs w:val="20"/>
          <w:lang w:val="sl-SI"/>
        </w:rPr>
        <w:t xml:space="preserve">Če je bil upravni akt ali drug dokument izdan </w:t>
      </w:r>
      <w:r w:rsidRPr="006F3FCA">
        <w:rPr>
          <w:rFonts w:eastAsia="Calibri" w:cs="Arial"/>
          <w:szCs w:val="20"/>
          <w:u w:val="single"/>
          <w:lang w:val="sl-SI"/>
        </w:rPr>
        <w:t>pred uveljavitvijo tega zakona oz. pred uvedbo teh ukrepov</w:t>
      </w:r>
      <w:r w:rsidRPr="006F3FCA">
        <w:rPr>
          <w:rFonts w:eastAsia="Calibri" w:cs="Arial"/>
          <w:szCs w:val="20"/>
          <w:lang w:val="sl-SI"/>
        </w:rPr>
        <w:t xml:space="preserve"> in roki določeni v teh dokumentih še niso potekli, velja:</w:t>
      </w:r>
    </w:p>
    <w:p w:rsidR="00F8765D" w:rsidRPr="006F3FCA" w:rsidRDefault="00F8765D" w:rsidP="00F8765D">
      <w:pPr>
        <w:numPr>
          <w:ilvl w:val="0"/>
          <w:numId w:val="7"/>
        </w:numPr>
        <w:contextualSpacing/>
        <w:jc w:val="both"/>
        <w:rPr>
          <w:rFonts w:eastAsia="Calibri" w:cs="Arial"/>
          <w:szCs w:val="20"/>
          <w:lang w:val="sl-SI"/>
        </w:rPr>
      </w:pPr>
      <w:r w:rsidRPr="006F3FCA">
        <w:rPr>
          <w:rFonts w:eastAsia="Calibri" w:cs="Arial"/>
          <w:szCs w:val="20"/>
          <w:lang w:val="sl-SI"/>
        </w:rPr>
        <w:t>v nujnih zadevah (katere zadeve so nujne, glej zgoraj): ROKI TEČEJO.</w:t>
      </w:r>
    </w:p>
    <w:p w:rsidR="00F8765D" w:rsidRPr="006F3FCA" w:rsidRDefault="00F8765D" w:rsidP="00F8765D">
      <w:pPr>
        <w:numPr>
          <w:ilvl w:val="0"/>
          <w:numId w:val="7"/>
        </w:numPr>
        <w:contextualSpacing/>
        <w:jc w:val="both"/>
        <w:rPr>
          <w:rFonts w:eastAsia="Calibri" w:cs="Arial"/>
          <w:szCs w:val="20"/>
          <w:lang w:val="sl-SI"/>
        </w:rPr>
      </w:pPr>
      <w:r w:rsidRPr="006F3FCA">
        <w:rPr>
          <w:rFonts w:eastAsia="Calibri" w:cs="Arial"/>
          <w:szCs w:val="20"/>
          <w:lang w:val="sl-SI"/>
        </w:rPr>
        <w:t>v zadevah, ki niso nujne (katere zadeve niso nujne, glej zgoraj): ROKI NE TEČEJO.</w:t>
      </w:r>
    </w:p>
    <w:p w:rsidR="00F8765D" w:rsidRPr="006F3FCA" w:rsidRDefault="00F8765D" w:rsidP="00F8765D">
      <w:pPr>
        <w:ind w:left="720"/>
        <w:contextualSpacing/>
        <w:jc w:val="both"/>
        <w:rPr>
          <w:rFonts w:eastAsia="Calibri" w:cs="Arial"/>
          <w:i/>
          <w:szCs w:val="20"/>
          <w:lang w:val="sl-SI"/>
        </w:rPr>
      </w:pPr>
      <w:r w:rsidRPr="006F3FCA">
        <w:rPr>
          <w:rFonts w:eastAsia="Calibri" w:cs="Arial"/>
          <w:i/>
          <w:szCs w:val="20"/>
          <w:lang w:val="sl-SI"/>
        </w:rPr>
        <w:t xml:space="preserve">Primer 1: </w:t>
      </w:r>
    </w:p>
    <w:p w:rsidR="00F8765D" w:rsidRPr="006F3FCA" w:rsidRDefault="00F8765D" w:rsidP="00F8765D">
      <w:pPr>
        <w:ind w:left="720"/>
        <w:contextualSpacing/>
        <w:jc w:val="both"/>
        <w:rPr>
          <w:rFonts w:eastAsia="Calibri" w:cs="Arial"/>
          <w:i/>
          <w:szCs w:val="20"/>
          <w:lang w:val="sl-SI"/>
        </w:rPr>
      </w:pPr>
      <w:r w:rsidRPr="006F3FCA">
        <w:rPr>
          <w:rFonts w:eastAsia="Calibri" w:cs="Arial"/>
          <w:i/>
          <w:szCs w:val="20"/>
          <w:lang w:val="sl-SI"/>
        </w:rPr>
        <w:t xml:space="preserve">V postopku opravljanja nadzora obračuna davka od dohodkov pravnih oseb (DDPO) je bil dne 25. 3. 2020 (pred uveljavitvijo tega zakona, tj. pred 29. 3. 2020) davčnemu zavezancu vročen  dopis, s katerim je bil pozvan, da v roku 8 dni od seznanitve z nepravilnostmi predloži popravljen obračun (četrti odstavek 129. člena ZDavP-2). Rok za predložitev je začel teči naslednji dan po vročitvi (26. 3.), vendar se  prekine oz. ne teče v času veljavnosti ukrepov (tj. od 29. 3. 2020). Če bodo ukrepi veljali do 1. julija 2020, se rok za predložitev obračuna izteče 6. julija 2020.  </w:t>
      </w:r>
    </w:p>
    <w:p w:rsidR="00F8765D" w:rsidRPr="006F3FCA" w:rsidRDefault="00F8765D" w:rsidP="00F8765D">
      <w:pPr>
        <w:ind w:left="720"/>
        <w:contextualSpacing/>
        <w:jc w:val="both"/>
        <w:rPr>
          <w:rFonts w:eastAsia="Calibri" w:cs="Arial"/>
          <w:i/>
          <w:szCs w:val="20"/>
          <w:lang w:val="sl-SI"/>
        </w:rPr>
      </w:pPr>
      <w:r w:rsidRPr="006F3FCA">
        <w:rPr>
          <w:rFonts w:eastAsia="Calibri" w:cs="Arial"/>
          <w:i/>
          <w:szCs w:val="20"/>
          <w:lang w:val="sl-SI"/>
        </w:rPr>
        <w:t>Primer 2:</w:t>
      </w:r>
    </w:p>
    <w:p w:rsidR="00F8765D" w:rsidRPr="006F3FCA" w:rsidRDefault="00F8765D" w:rsidP="00F8765D">
      <w:pPr>
        <w:ind w:left="720"/>
        <w:contextualSpacing/>
        <w:jc w:val="both"/>
        <w:rPr>
          <w:rFonts w:eastAsia="Calibri" w:cs="Arial"/>
          <w:i/>
          <w:szCs w:val="20"/>
          <w:lang w:val="sl-SI"/>
        </w:rPr>
      </w:pPr>
      <w:r w:rsidRPr="006F3FCA">
        <w:rPr>
          <w:rFonts w:eastAsia="Calibri" w:cs="Arial"/>
          <w:i/>
          <w:szCs w:val="20"/>
          <w:lang w:val="sl-SI"/>
        </w:rPr>
        <w:t xml:space="preserve">V postopku opravljanja nadzora obračuna davka od dohodkov pravnih oseb (DDPO) je bil dne 30. 3. 2020 (po uveljavitvi tega zakona, tj. po 29. 3. 2020) davčnemu zavezancu vročen dopis, s katerim je bil  pozvan, da v roku 8 dni od seznanitve z nepravilnostmi predloži popravljen obračun (četrti odstavek 129. člena ZDavP-2). Rok v tem primeru začne teči šele po prenehanju ukrepov. Če bodo ukrepi veljali do 1. julija 2020, se rok za predložitev obračuna izteče 9. julija 2020.  </w:t>
      </w:r>
    </w:p>
    <w:p w:rsidR="00F8765D" w:rsidRPr="006F3FCA" w:rsidRDefault="00F8765D" w:rsidP="00F8765D">
      <w:pPr>
        <w:ind w:left="720"/>
        <w:contextualSpacing/>
        <w:jc w:val="both"/>
        <w:rPr>
          <w:rFonts w:eastAsia="Calibri" w:cs="Arial"/>
          <w:i/>
          <w:szCs w:val="20"/>
          <w:lang w:val="sl-SI"/>
        </w:rPr>
      </w:pPr>
      <w:r w:rsidRPr="006F3FCA">
        <w:rPr>
          <w:rFonts w:eastAsia="Calibri" w:cs="Arial"/>
          <w:i/>
          <w:szCs w:val="20"/>
          <w:lang w:val="sl-SI"/>
        </w:rPr>
        <w:t>Primer 3:</w:t>
      </w:r>
    </w:p>
    <w:p w:rsidR="00F8765D" w:rsidRPr="006F3FCA" w:rsidRDefault="00F8765D" w:rsidP="00F8765D">
      <w:pPr>
        <w:ind w:left="720"/>
        <w:contextualSpacing/>
        <w:jc w:val="both"/>
        <w:rPr>
          <w:rFonts w:cs="Arial"/>
          <w:i/>
          <w:iCs/>
          <w:szCs w:val="20"/>
          <w:lang w:val="sl-SI"/>
        </w:rPr>
      </w:pPr>
      <w:r w:rsidRPr="006F3FCA">
        <w:rPr>
          <w:rFonts w:cs="Arial"/>
          <w:i/>
          <w:iCs/>
          <w:szCs w:val="20"/>
          <w:lang w:val="sl-SI"/>
        </w:rPr>
        <w:t xml:space="preserve">V postopku opravljanja nadzora obračuna davka od dohodkov pravnih oseb (DDPO) je bila dne 25. 3. 2020 (pred uveljavitvijo tega zakona, tj. pred 29. 3. 2020) davčnemu zavezancu vročena  odločba, s katero mu je bilo naloženo, da mora v roku 30 dni </w:t>
      </w:r>
      <w:r w:rsidR="00D5268A" w:rsidRPr="006F3FCA">
        <w:rPr>
          <w:rFonts w:cs="Arial"/>
          <w:i/>
          <w:iCs/>
          <w:szCs w:val="20"/>
          <w:lang w:val="sl-SI"/>
        </w:rPr>
        <w:t xml:space="preserve">od </w:t>
      </w:r>
      <w:r w:rsidRPr="006F3FCA">
        <w:rPr>
          <w:rFonts w:cs="Arial"/>
          <w:i/>
          <w:iCs/>
          <w:szCs w:val="20"/>
          <w:lang w:val="sl-SI"/>
        </w:rPr>
        <w:t xml:space="preserve">vročitve plačati davek. Rok za izpolnitev </w:t>
      </w:r>
      <w:r w:rsidR="007D5EA7" w:rsidRPr="006F3FCA">
        <w:rPr>
          <w:rFonts w:cs="Arial"/>
          <w:i/>
          <w:iCs/>
          <w:szCs w:val="20"/>
          <w:lang w:val="sl-SI"/>
        </w:rPr>
        <w:t>je začel teči naslednji dan po</w:t>
      </w:r>
      <w:r w:rsidR="005D0CDF" w:rsidRPr="006F3FCA">
        <w:rPr>
          <w:rFonts w:cs="Arial"/>
          <w:i/>
          <w:iCs/>
          <w:szCs w:val="20"/>
          <w:lang w:val="sl-SI"/>
        </w:rPr>
        <w:t xml:space="preserve"> </w:t>
      </w:r>
      <w:r w:rsidR="007D5EA7" w:rsidRPr="006F3FCA">
        <w:rPr>
          <w:rFonts w:cs="Arial"/>
          <w:i/>
          <w:iCs/>
          <w:szCs w:val="20"/>
          <w:lang w:val="sl-SI"/>
        </w:rPr>
        <w:t>vročitvi (26.3.)</w:t>
      </w:r>
      <w:r w:rsidRPr="006F3FCA">
        <w:rPr>
          <w:rFonts w:cs="Arial"/>
          <w:i/>
          <w:iCs/>
          <w:szCs w:val="20"/>
          <w:lang w:val="sl-SI"/>
        </w:rPr>
        <w:t xml:space="preserve">, vendar se  prekine oz. ne teče v času veljavnosti ukrepov (tj. od 29. 3. 2020). Če bodo ukrepi veljali do 1. julija 2020, se rok za plačilo izteče 28. julija 2020.  </w:t>
      </w:r>
    </w:p>
    <w:p w:rsidR="00F8765D" w:rsidRPr="006F3FCA" w:rsidRDefault="00F8765D" w:rsidP="00F8765D">
      <w:pPr>
        <w:ind w:left="720"/>
        <w:contextualSpacing/>
        <w:jc w:val="both"/>
        <w:rPr>
          <w:rFonts w:eastAsia="Calibri" w:cs="Arial"/>
          <w:i/>
          <w:szCs w:val="20"/>
          <w:lang w:val="sl-SI"/>
        </w:rPr>
      </w:pPr>
    </w:p>
    <w:p w:rsidR="00F8765D" w:rsidRPr="006F3FCA" w:rsidRDefault="00F8765D" w:rsidP="00F8765D">
      <w:pPr>
        <w:ind w:left="720"/>
        <w:contextualSpacing/>
        <w:jc w:val="both"/>
        <w:rPr>
          <w:rFonts w:eastAsia="Calibri" w:cs="Arial"/>
          <w:i/>
          <w:szCs w:val="20"/>
          <w:lang w:val="sl-SI"/>
        </w:rPr>
      </w:pPr>
    </w:p>
    <w:p w:rsidR="00F8765D" w:rsidRPr="006F3FCA" w:rsidRDefault="00F8765D" w:rsidP="00F8765D">
      <w:pPr>
        <w:jc w:val="both"/>
        <w:rPr>
          <w:rFonts w:eastAsia="Calibri" w:cs="Arial"/>
          <w:szCs w:val="20"/>
          <w:lang w:val="sl-SI"/>
        </w:rPr>
      </w:pPr>
      <w:r w:rsidRPr="006F3FCA">
        <w:rPr>
          <w:rFonts w:eastAsia="Calibri" w:cs="Arial"/>
          <w:szCs w:val="20"/>
          <w:lang w:val="sl-SI"/>
        </w:rPr>
        <w:t xml:space="preserve">Če bo upravni akt (odločba, sklep) ali drug dokument (npr. zahteva za dopolnitev vloge) izdan </w:t>
      </w:r>
      <w:r w:rsidRPr="006F3FCA">
        <w:rPr>
          <w:rFonts w:eastAsia="Calibri" w:cs="Arial"/>
          <w:szCs w:val="20"/>
          <w:u w:val="single"/>
          <w:lang w:val="sl-SI"/>
        </w:rPr>
        <w:t>v času veljavnosti tega zakona oz. trajanja teh ukrepov</w:t>
      </w:r>
      <w:r w:rsidRPr="006F3FCA">
        <w:rPr>
          <w:rFonts w:eastAsia="Calibri" w:cs="Arial"/>
          <w:szCs w:val="20"/>
          <w:lang w:val="sl-SI"/>
        </w:rPr>
        <w:t>, bo stranka v teh dokumentih obveščena o tem, ali in kako bodo pos</w:t>
      </w:r>
      <w:r w:rsidR="00EC5438" w:rsidRPr="006F3FCA">
        <w:rPr>
          <w:rFonts w:eastAsia="Calibri" w:cs="Arial"/>
          <w:szCs w:val="20"/>
          <w:lang w:val="sl-SI"/>
        </w:rPr>
        <w:t>ebni ukrepi vplivali na tek rokov</w:t>
      </w:r>
      <w:r w:rsidRPr="006F3FCA">
        <w:rPr>
          <w:rFonts w:eastAsia="Calibri" w:cs="Arial"/>
          <w:szCs w:val="20"/>
          <w:lang w:val="sl-SI"/>
        </w:rPr>
        <w:t>.</w:t>
      </w:r>
    </w:p>
    <w:p w:rsidR="00F8765D" w:rsidRPr="006F3FCA" w:rsidRDefault="00F8765D" w:rsidP="00F8765D">
      <w:pPr>
        <w:jc w:val="both"/>
        <w:rPr>
          <w:rFonts w:eastAsia="Calibri" w:cs="Arial"/>
          <w:szCs w:val="20"/>
          <w:lang w:val="sl-SI"/>
        </w:rPr>
      </w:pPr>
    </w:p>
    <w:p w:rsidR="00F8765D" w:rsidRPr="006F3FCA" w:rsidRDefault="00F8765D" w:rsidP="00F8765D">
      <w:pPr>
        <w:jc w:val="both"/>
        <w:rPr>
          <w:rFonts w:eastAsia="Calibri" w:cs="Arial"/>
          <w:szCs w:val="20"/>
          <w:lang w:val="sl-SI"/>
        </w:rPr>
      </w:pPr>
    </w:p>
    <w:p w:rsidR="00F8765D" w:rsidRPr="006F3FCA" w:rsidRDefault="00F8765D" w:rsidP="00F8765D">
      <w:pPr>
        <w:numPr>
          <w:ilvl w:val="0"/>
          <w:numId w:val="6"/>
        </w:numPr>
        <w:contextualSpacing/>
        <w:jc w:val="both"/>
        <w:rPr>
          <w:rFonts w:eastAsia="Calibri" w:cs="Arial"/>
          <w:b/>
          <w:szCs w:val="20"/>
          <w:lang w:val="sl-SI"/>
        </w:rPr>
      </w:pPr>
      <w:r w:rsidRPr="006F3FCA">
        <w:rPr>
          <w:rFonts w:eastAsia="Calibri" w:cs="Arial"/>
          <w:b/>
          <w:szCs w:val="20"/>
          <w:lang w:val="sl-SI"/>
        </w:rPr>
        <w:t>V</w:t>
      </w:r>
      <w:r w:rsidRPr="006F3FCA">
        <w:rPr>
          <w:rFonts w:cs="Arial"/>
          <w:b/>
          <w:szCs w:val="20"/>
          <w:lang w:val="sl-SI"/>
        </w:rPr>
        <w:t>laganje pisnih in ustnih vlog</w:t>
      </w:r>
      <w:r w:rsidRPr="006F3FCA">
        <w:rPr>
          <w:rFonts w:eastAsia="Calibri" w:cs="Arial"/>
          <w:b/>
          <w:szCs w:val="20"/>
          <w:lang w:val="sl-SI"/>
        </w:rPr>
        <w:t xml:space="preserve"> ter dajanje ustnih izjav pri organu </w:t>
      </w:r>
    </w:p>
    <w:p w:rsidR="00F8765D" w:rsidRPr="006F3FCA" w:rsidRDefault="00F8765D" w:rsidP="00F8765D">
      <w:pPr>
        <w:ind w:left="720"/>
        <w:contextualSpacing/>
        <w:jc w:val="both"/>
        <w:rPr>
          <w:rFonts w:eastAsia="Calibri" w:cs="Arial"/>
          <w:b/>
          <w:szCs w:val="20"/>
          <w:lang w:val="sl-SI"/>
        </w:rPr>
      </w:pPr>
    </w:p>
    <w:p w:rsidR="00F8765D" w:rsidRPr="006F3FCA" w:rsidRDefault="00F8765D" w:rsidP="00F8765D">
      <w:pPr>
        <w:contextualSpacing/>
        <w:jc w:val="both"/>
        <w:rPr>
          <w:rFonts w:eastAsia="Calibri" w:cs="Arial"/>
          <w:szCs w:val="20"/>
          <w:lang w:val="sl-SI"/>
        </w:rPr>
      </w:pPr>
      <w:r w:rsidRPr="006F3FCA">
        <w:rPr>
          <w:rFonts w:eastAsia="Calibri" w:cs="Arial"/>
          <w:szCs w:val="20"/>
          <w:lang w:val="sl-SI"/>
        </w:rPr>
        <w:t xml:space="preserve">V času trajanja posebnih ukrepov praviloma ni mogoče vlaganje pisnih in ustnih vlog ter dajanje ustnih izjav </w:t>
      </w:r>
      <w:r w:rsidRPr="006F3FCA">
        <w:rPr>
          <w:rFonts w:eastAsia="Calibri" w:cs="Arial"/>
          <w:b/>
          <w:szCs w:val="20"/>
          <w:lang w:val="sl-SI"/>
        </w:rPr>
        <w:t>neposredno pri organu</w:t>
      </w:r>
      <w:r w:rsidRPr="006F3FCA">
        <w:rPr>
          <w:rFonts w:eastAsia="Calibri" w:cs="Arial"/>
          <w:szCs w:val="20"/>
          <w:lang w:val="sl-SI"/>
        </w:rPr>
        <w:t xml:space="preserve">. Izjema velja le za vloge za uveljavljanje pravic, ki se obravnavajo v skrajšanem ugotovitvenem postopku (iz obrazložitve zakona izhaja, da so to praviloma vloge v zadevah, ki se obravnavajo na okencih; pri Finančni upravi so to primeri, ko je treba nujno oddati kakšno dokumentacijo osebno (originali pogodb, notarskih zapisov ipd.), kar je podrobneje pojasnjeno na </w:t>
      </w:r>
      <w:hyperlink r:id="rId8" w:history="1">
        <w:r w:rsidRPr="006F3FCA">
          <w:rPr>
            <w:rStyle w:val="Hiperpovezava"/>
            <w:rFonts w:eastAsia="Calibri" w:cs="Arial"/>
            <w:szCs w:val="20"/>
            <w:lang w:val="sl-SI"/>
          </w:rPr>
          <w:t>spletni strani Finančne uprave RS</w:t>
        </w:r>
      </w:hyperlink>
      <w:r w:rsidRPr="006F3FCA">
        <w:rPr>
          <w:rFonts w:eastAsia="Calibri" w:cs="Arial"/>
          <w:szCs w:val="20"/>
          <w:lang w:val="sl-SI"/>
        </w:rPr>
        <w:t xml:space="preserve">). </w:t>
      </w:r>
    </w:p>
    <w:p w:rsidR="00F8765D" w:rsidRPr="006F3FCA" w:rsidRDefault="00F8765D" w:rsidP="00F8765D">
      <w:pPr>
        <w:jc w:val="both"/>
        <w:rPr>
          <w:rFonts w:eastAsia="Calibri" w:cs="Arial"/>
          <w:szCs w:val="20"/>
          <w:lang w:val="sl-SI"/>
        </w:rPr>
      </w:pPr>
    </w:p>
    <w:p w:rsidR="00F8765D" w:rsidRPr="006F3FCA" w:rsidRDefault="00F8765D" w:rsidP="00F8765D">
      <w:pPr>
        <w:jc w:val="both"/>
        <w:rPr>
          <w:rFonts w:eastAsia="Calibri" w:cs="Arial"/>
          <w:szCs w:val="20"/>
          <w:lang w:val="sl-SI"/>
        </w:rPr>
      </w:pPr>
      <w:r w:rsidRPr="006F3FCA">
        <w:rPr>
          <w:rFonts w:eastAsia="Calibri" w:cs="Arial"/>
          <w:szCs w:val="20"/>
          <w:lang w:val="sl-SI"/>
        </w:rPr>
        <w:t xml:space="preserve">V izogib neposrednih stikov tako predlagamo: </w:t>
      </w:r>
    </w:p>
    <w:p w:rsidR="00F8765D" w:rsidRPr="006F3FCA" w:rsidRDefault="00F8765D" w:rsidP="00F8765D">
      <w:pPr>
        <w:numPr>
          <w:ilvl w:val="0"/>
          <w:numId w:val="8"/>
        </w:numPr>
        <w:contextualSpacing/>
        <w:jc w:val="both"/>
        <w:rPr>
          <w:rFonts w:eastAsia="Calibri" w:cs="Arial"/>
          <w:szCs w:val="20"/>
          <w:lang w:val="sl-SI"/>
        </w:rPr>
      </w:pPr>
      <w:r w:rsidRPr="006F3FCA">
        <w:rPr>
          <w:rFonts w:eastAsia="Calibri" w:cs="Arial"/>
          <w:szCs w:val="20"/>
          <w:lang w:val="sl-SI"/>
        </w:rPr>
        <w:t>Vloge se na</w:t>
      </w:r>
      <w:r w:rsidR="00D9259C" w:rsidRPr="006F3FCA">
        <w:rPr>
          <w:rFonts w:eastAsia="Calibri" w:cs="Arial"/>
          <w:szCs w:val="20"/>
          <w:lang w:val="sl-SI"/>
        </w:rPr>
        <w:t>j v največji možni meri vlagajo</w:t>
      </w:r>
      <w:r w:rsidRPr="006F3FCA">
        <w:rPr>
          <w:rFonts w:eastAsia="Calibri" w:cs="Arial"/>
          <w:szCs w:val="20"/>
          <w:lang w:val="sl-SI"/>
        </w:rPr>
        <w:t xml:space="preserve"> </w:t>
      </w:r>
      <w:hyperlink r:id="rId9" w:history="1">
        <w:r w:rsidRPr="006F3FCA">
          <w:rPr>
            <w:rStyle w:val="Hiperpovezava"/>
            <w:rFonts w:eastAsia="Calibri" w:cs="Arial"/>
            <w:b/>
            <w:szCs w:val="20"/>
            <w:lang w:val="sl-SI"/>
          </w:rPr>
          <w:t>elektronsko prek portala eDavki</w:t>
        </w:r>
      </w:hyperlink>
      <w:r w:rsidRPr="006F3FCA">
        <w:rPr>
          <w:rFonts w:eastAsia="Calibri" w:cs="Arial"/>
          <w:szCs w:val="20"/>
          <w:lang w:val="sl-SI"/>
        </w:rPr>
        <w:t xml:space="preserve"> </w:t>
      </w:r>
      <w:r w:rsidRPr="006F3FCA">
        <w:rPr>
          <w:rFonts w:eastAsia="Calibri" w:cs="Arial"/>
          <w:b/>
          <w:szCs w:val="20"/>
          <w:lang w:val="sl-SI"/>
        </w:rPr>
        <w:t xml:space="preserve">ali </w:t>
      </w:r>
      <w:hyperlink r:id="rId10" w:anchor="c6490" w:history="1">
        <w:r w:rsidRPr="006F3FCA">
          <w:rPr>
            <w:rStyle w:val="Hiperpovezava"/>
            <w:rFonts w:eastAsia="Calibri" w:cs="Arial"/>
            <w:b/>
            <w:szCs w:val="20"/>
            <w:lang w:val="sl-SI"/>
          </w:rPr>
          <w:t>mobilne aplikacije eDavki</w:t>
        </w:r>
      </w:hyperlink>
      <w:r w:rsidRPr="006F3FCA">
        <w:rPr>
          <w:rFonts w:eastAsia="Calibri" w:cs="Arial"/>
          <w:szCs w:val="20"/>
          <w:lang w:val="sl-SI"/>
        </w:rPr>
        <w:t>.</w:t>
      </w:r>
    </w:p>
    <w:p w:rsidR="00F8765D" w:rsidRPr="006F3FCA" w:rsidRDefault="00F8765D" w:rsidP="00F8765D">
      <w:pPr>
        <w:numPr>
          <w:ilvl w:val="0"/>
          <w:numId w:val="8"/>
        </w:numPr>
        <w:contextualSpacing/>
        <w:jc w:val="both"/>
        <w:rPr>
          <w:rFonts w:eastAsia="Calibri" w:cs="Arial"/>
          <w:szCs w:val="20"/>
          <w:lang w:val="sl-SI"/>
        </w:rPr>
      </w:pPr>
      <w:r w:rsidRPr="006F3FCA">
        <w:rPr>
          <w:rFonts w:eastAsia="Calibri" w:cs="Arial"/>
          <w:szCs w:val="20"/>
          <w:lang w:val="sl-SI"/>
        </w:rPr>
        <w:t xml:space="preserve">Vlogo je možno vložiti tudi </w:t>
      </w:r>
      <w:r w:rsidRPr="006F3FCA">
        <w:rPr>
          <w:rFonts w:eastAsia="Calibri" w:cs="Arial"/>
          <w:b/>
          <w:szCs w:val="20"/>
          <w:lang w:val="sl-SI"/>
        </w:rPr>
        <w:t>po pošti</w:t>
      </w:r>
      <w:r w:rsidRPr="006F3FCA">
        <w:rPr>
          <w:rFonts w:eastAsia="Calibri" w:cs="Arial"/>
          <w:szCs w:val="20"/>
          <w:lang w:val="sl-SI"/>
        </w:rPr>
        <w:t xml:space="preserve">. </w:t>
      </w:r>
    </w:p>
    <w:p w:rsidR="00F8765D" w:rsidRPr="00BC1C04" w:rsidRDefault="00F8765D" w:rsidP="00F8765D">
      <w:pPr>
        <w:numPr>
          <w:ilvl w:val="0"/>
          <w:numId w:val="8"/>
        </w:numPr>
        <w:contextualSpacing/>
        <w:jc w:val="both"/>
        <w:rPr>
          <w:rFonts w:eastAsia="Calibri" w:cs="Arial"/>
          <w:strike/>
          <w:color w:val="FF0000"/>
          <w:szCs w:val="20"/>
          <w:lang w:val="sl-SI"/>
        </w:rPr>
      </w:pPr>
      <w:r w:rsidRPr="006F3FCA">
        <w:rPr>
          <w:rFonts w:eastAsia="Calibri" w:cs="Arial"/>
          <w:szCs w:val="20"/>
          <w:lang w:val="sl-SI"/>
        </w:rPr>
        <w:t xml:space="preserve">Zakon dopušča tudi možnost vložitve vloge po </w:t>
      </w:r>
      <w:r w:rsidRPr="006F3FCA">
        <w:rPr>
          <w:rFonts w:eastAsia="Calibri" w:cs="Arial"/>
          <w:b/>
          <w:szCs w:val="20"/>
          <w:lang w:val="sl-SI"/>
        </w:rPr>
        <w:t>elektronski poti brez varnega elektronskega podpisa</w:t>
      </w:r>
      <w:r w:rsidRPr="006F3FCA">
        <w:rPr>
          <w:rFonts w:eastAsia="Calibri" w:cs="Arial"/>
          <w:szCs w:val="20"/>
          <w:lang w:val="sl-SI"/>
        </w:rPr>
        <w:t xml:space="preserve">, če je identiteto vložnika mogoče ugotoviti na drug zanesljiv način. V takem primeru bo davčni organ identiteto vložnika ugotavljal ali preverjal z drugim načini, na primer s tem, da bo zahteval, naj stranka sporoči še uradno dodeljeno identifikacijsko številko (EMŠO, DŠ) ali tudi na druge načine (npr. z naprednim elektronskim podpisom itd.). </w:t>
      </w:r>
      <w:r w:rsidRPr="00BC1C04">
        <w:rPr>
          <w:rFonts w:eastAsia="Calibri" w:cs="Arial"/>
          <w:strike/>
          <w:color w:val="FF0000"/>
          <w:szCs w:val="20"/>
          <w:lang w:val="sl-SI"/>
        </w:rPr>
        <w:t>V tem primeru se dokumenti, ki vplivajo na pravni položaj, vročajo na naslov stalnega ali začasnega prebivališča. Naveden način vložitve vloge ne velja, ko je vložitev vloge preko eDavkov obvezna.</w:t>
      </w:r>
    </w:p>
    <w:p w:rsidR="00F8765D" w:rsidRPr="006F3FCA" w:rsidRDefault="00F8765D" w:rsidP="00F8765D">
      <w:pPr>
        <w:ind w:left="851" w:hanging="567"/>
        <w:contextualSpacing/>
        <w:jc w:val="both"/>
        <w:rPr>
          <w:rFonts w:eastAsia="Calibri" w:cs="Arial"/>
          <w:szCs w:val="20"/>
          <w:lang w:val="sl-SI"/>
        </w:rPr>
      </w:pPr>
    </w:p>
    <w:p w:rsidR="00F8765D" w:rsidRPr="006F3FCA" w:rsidRDefault="00F8765D" w:rsidP="00F8765D">
      <w:pPr>
        <w:numPr>
          <w:ilvl w:val="0"/>
          <w:numId w:val="6"/>
        </w:numPr>
        <w:contextualSpacing/>
        <w:jc w:val="both"/>
        <w:rPr>
          <w:rFonts w:eastAsia="Calibri" w:cs="Arial"/>
          <w:b/>
          <w:szCs w:val="20"/>
          <w:lang w:val="sl-SI"/>
        </w:rPr>
      </w:pPr>
      <w:r w:rsidRPr="006F3FCA">
        <w:rPr>
          <w:rFonts w:cs="Arial"/>
          <w:b/>
          <w:szCs w:val="20"/>
          <w:lang w:val="sl-SI"/>
        </w:rPr>
        <w:t>Ustne obravnave in druga procesna dejanja</w:t>
      </w:r>
      <w:r w:rsidRPr="006F3FCA">
        <w:rPr>
          <w:rFonts w:eastAsia="Calibri" w:cs="Arial"/>
          <w:b/>
          <w:szCs w:val="20"/>
          <w:lang w:val="sl-SI"/>
        </w:rPr>
        <w:t>, kjer so uradna oseba, stranka ali drug udeleženec lahko v neposrednem stiku</w:t>
      </w:r>
    </w:p>
    <w:p w:rsidR="00F8765D" w:rsidRPr="006F3FCA" w:rsidRDefault="00F8765D" w:rsidP="00F8765D">
      <w:pPr>
        <w:ind w:left="720"/>
        <w:contextualSpacing/>
        <w:jc w:val="both"/>
        <w:rPr>
          <w:rFonts w:eastAsia="Calibri" w:cs="Arial"/>
          <w:b/>
          <w:szCs w:val="20"/>
          <w:lang w:val="sl-SI"/>
        </w:rPr>
      </w:pPr>
    </w:p>
    <w:p w:rsidR="00BC1C04" w:rsidRDefault="00F8765D" w:rsidP="00F8765D">
      <w:pPr>
        <w:contextualSpacing/>
        <w:jc w:val="both"/>
        <w:rPr>
          <w:rFonts w:eastAsia="Calibri" w:cs="Arial"/>
          <w:szCs w:val="20"/>
          <w:lang w:val="sl-SI"/>
        </w:rPr>
      </w:pPr>
      <w:r w:rsidRPr="006F3FCA">
        <w:rPr>
          <w:rFonts w:eastAsia="Calibri" w:cs="Arial"/>
          <w:szCs w:val="20"/>
          <w:lang w:val="sl-SI"/>
        </w:rPr>
        <w:t xml:space="preserve">Ustne obravnave in druga procesna dejanja, pri katerih sta uradna oseba in stranka oziroma drug udeleženec postopka lahko v neposrednem stiku, se </w:t>
      </w:r>
      <w:r w:rsidRPr="00BC1C04">
        <w:rPr>
          <w:rFonts w:eastAsia="Calibri" w:cs="Arial"/>
          <w:strike/>
          <w:color w:val="FF0000"/>
          <w:szCs w:val="20"/>
          <w:lang w:val="sl-SI"/>
        </w:rPr>
        <w:t>prav tako ne</w:t>
      </w:r>
      <w:r w:rsidRPr="00BC1C04">
        <w:rPr>
          <w:rFonts w:eastAsia="Calibri" w:cs="Arial"/>
          <w:color w:val="FF0000"/>
          <w:szCs w:val="20"/>
          <w:lang w:val="sl-SI"/>
        </w:rPr>
        <w:t xml:space="preserve"> </w:t>
      </w:r>
      <w:r w:rsidRPr="006F3FCA">
        <w:rPr>
          <w:rFonts w:eastAsia="Calibri" w:cs="Arial"/>
          <w:szCs w:val="20"/>
          <w:lang w:val="sl-SI"/>
        </w:rPr>
        <w:t>opravljajo</w:t>
      </w:r>
      <w:r w:rsidRPr="00BC1C04">
        <w:rPr>
          <w:rFonts w:eastAsia="Calibri" w:cs="Arial"/>
          <w:strike/>
          <w:color w:val="FF0000"/>
          <w:szCs w:val="20"/>
          <w:lang w:val="sl-SI"/>
        </w:rPr>
        <w:t>, razen</w:t>
      </w:r>
      <w:r w:rsidRPr="00BC1C04">
        <w:rPr>
          <w:rFonts w:eastAsia="Calibri" w:cs="Arial"/>
          <w:color w:val="FF0000"/>
          <w:szCs w:val="20"/>
          <w:lang w:val="sl-SI"/>
        </w:rPr>
        <w:t xml:space="preserve"> </w:t>
      </w:r>
      <w:r w:rsidRPr="006F3FCA">
        <w:rPr>
          <w:rFonts w:eastAsia="Calibri" w:cs="Arial"/>
          <w:szCs w:val="20"/>
          <w:lang w:val="sl-SI"/>
        </w:rPr>
        <w:t xml:space="preserve">v nujnih zadevah. </w:t>
      </w:r>
      <w:r w:rsidR="00BC1C04" w:rsidRPr="00EF694E">
        <w:rPr>
          <w:rFonts w:eastAsia="Calibri" w:cs="Arial"/>
          <w:color w:val="FF0000"/>
          <w:szCs w:val="20"/>
          <w:lang w:val="sl-SI"/>
        </w:rPr>
        <w:t xml:space="preserve">V zadevah, ki niso nujne, se opravljajo ob pogoju, da </w:t>
      </w:r>
      <w:r w:rsidR="00EF694E">
        <w:rPr>
          <w:rFonts w:eastAsia="Calibri" w:cs="Arial"/>
          <w:color w:val="FF0000"/>
          <w:szCs w:val="20"/>
          <w:lang w:val="sl-SI"/>
        </w:rPr>
        <w:t>to ne bo vpliva</w:t>
      </w:r>
      <w:r w:rsidR="00EF694E" w:rsidRPr="00EF694E">
        <w:rPr>
          <w:rFonts w:eastAsia="Calibri" w:cs="Arial"/>
          <w:color w:val="FF0000"/>
          <w:szCs w:val="20"/>
          <w:lang w:val="sl-SI"/>
        </w:rPr>
        <w:t xml:space="preserve"> na</w:t>
      </w:r>
      <w:r w:rsidR="00EF694E">
        <w:rPr>
          <w:rFonts w:eastAsia="Calibri" w:cs="Arial"/>
          <w:color w:val="FF0000"/>
          <w:szCs w:val="20"/>
          <w:lang w:val="sl-SI"/>
        </w:rPr>
        <w:t xml:space="preserve"> širjenje virusne okužbe in ne ogroža</w:t>
      </w:r>
      <w:r w:rsidR="00EF694E" w:rsidRPr="00EF694E">
        <w:rPr>
          <w:rFonts w:eastAsia="Calibri" w:cs="Arial"/>
          <w:color w:val="FF0000"/>
          <w:szCs w:val="20"/>
          <w:lang w:val="sl-SI"/>
        </w:rPr>
        <w:t xml:space="preserve"> zdravja in življenja. V skladu z navedenim bo organ v teh zadevah presodil, ali lahko opravi procesno dejanje brez nevarnosti širjenja virusne okužbe in nevarnosti za zdravje in življenje vseh, ki sodelujejo pri procesnem dejanju</w:t>
      </w:r>
      <w:r w:rsidR="00723AC5">
        <w:rPr>
          <w:rFonts w:eastAsia="Calibri" w:cs="Arial"/>
          <w:color w:val="FF0000"/>
          <w:szCs w:val="20"/>
          <w:lang w:val="sl-SI"/>
        </w:rPr>
        <w:t xml:space="preserve"> </w:t>
      </w:r>
      <w:r w:rsidR="00723AC5" w:rsidRPr="00723AC5">
        <w:rPr>
          <w:rFonts w:eastAsia="Calibri" w:cs="Arial"/>
          <w:color w:val="FF0000"/>
          <w:szCs w:val="20"/>
          <w:lang w:val="sl-SI"/>
        </w:rPr>
        <w:t>(npr. zaščitna maska, ustrezna varnostna razdalja ipd.).</w:t>
      </w:r>
    </w:p>
    <w:p w:rsidR="00BC1C04" w:rsidRDefault="00BC1C04" w:rsidP="00F8765D">
      <w:pPr>
        <w:contextualSpacing/>
        <w:jc w:val="both"/>
        <w:rPr>
          <w:rFonts w:eastAsia="Calibri" w:cs="Arial"/>
          <w:szCs w:val="20"/>
          <w:lang w:val="sl-SI"/>
        </w:rPr>
      </w:pPr>
    </w:p>
    <w:p w:rsidR="00F8765D" w:rsidRPr="006F3FCA" w:rsidRDefault="00F8765D" w:rsidP="00F8765D">
      <w:pPr>
        <w:contextualSpacing/>
        <w:jc w:val="both"/>
        <w:rPr>
          <w:rFonts w:eastAsia="Calibri" w:cs="Arial"/>
          <w:szCs w:val="20"/>
          <w:lang w:val="sl-SI"/>
        </w:rPr>
      </w:pPr>
      <w:r w:rsidRPr="006F3FCA">
        <w:rPr>
          <w:rFonts w:cs="Arial"/>
          <w:szCs w:val="20"/>
          <w:lang w:val="sl-SI"/>
        </w:rPr>
        <w:t xml:space="preserve">Če je za vodenje posameznega postopka nujen kontakt z uslužbencem Finančne uprave RS, pokličite na telefonsko številko centrale finančnega urada. Objavljene so na </w:t>
      </w:r>
      <w:hyperlink r:id="rId11" w:history="1">
        <w:r w:rsidRPr="006F3FCA">
          <w:rPr>
            <w:rFonts w:cs="Arial"/>
            <w:color w:val="0000FF"/>
            <w:szCs w:val="20"/>
            <w:u w:val="single"/>
            <w:lang w:val="sl-SI"/>
          </w:rPr>
          <w:t>spletni strani FURS</w:t>
        </w:r>
      </w:hyperlink>
      <w:r w:rsidRPr="006F3FCA">
        <w:rPr>
          <w:rFonts w:cs="Arial"/>
          <w:szCs w:val="20"/>
          <w:lang w:val="sl-SI"/>
        </w:rPr>
        <w:t>.</w:t>
      </w:r>
    </w:p>
    <w:p w:rsidR="00F8765D" w:rsidRPr="006F3FCA" w:rsidRDefault="00F8765D" w:rsidP="00F8765D">
      <w:pPr>
        <w:contextualSpacing/>
        <w:rPr>
          <w:rFonts w:eastAsia="Calibri" w:cs="Arial"/>
          <w:szCs w:val="20"/>
          <w:lang w:val="sl-SI"/>
        </w:rPr>
      </w:pPr>
    </w:p>
    <w:p w:rsidR="00F8765D" w:rsidRPr="006F3FCA" w:rsidRDefault="00F8765D" w:rsidP="00F8765D">
      <w:pPr>
        <w:keepNext/>
        <w:keepLines/>
        <w:numPr>
          <w:ilvl w:val="0"/>
          <w:numId w:val="6"/>
        </w:numPr>
        <w:outlineLvl w:val="1"/>
        <w:rPr>
          <w:rFonts w:cs="Arial"/>
          <w:b/>
          <w:szCs w:val="20"/>
          <w:lang w:val="sl-SI"/>
        </w:rPr>
      </w:pPr>
      <w:r w:rsidRPr="006F3FCA">
        <w:rPr>
          <w:rFonts w:cs="Arial"/>
          <w:b/>
          <w:szCs w:val="20"/>
          <w:lang w:val="sl-SI"/>
        </w:rPr>
        <w:t>Vročanje</w:t>
      </w:r>
    </w:p>
    <w:p w:rsidR="00F8765D" w:rsidRPr="006F3FCA" w:rsidRDefault="00F8765D" w:rsidP="00F8765D">
      <w:pPr>
        <w:keepNext/>
        <w:keepLines/>
        <w:ind w:left="720"/>
        <w:outlineLvl w:val="1"/>
        <w:rPr>
          <w:rFonts w:cs="Arial"/>
          <w:b/>
          <w:szCs w:val="20"/>
          <w:lang w:val="sl-SI"/>
        </w:rPr>
      </w:pPr>
    </w:p>
    <w:p w:rsidR="00F8765D" w:rsidRPr="006F3FCA" w:rsidRDefault="00F8765D" w:rsidP="00F8765D">
      <w:pPr>
        <w:contextualSpacing/>
        <w:jc w:val="both"/>
        <w:rPr>
          <w:rFonts w:eastAsia="Calibri" w:cs="Arial"/>
          <w:szCs w:val="20"/>
          <w:lang w:val="sl-SI"/>
        </w:rPr>
      </w:pPr>
      <w:r w:rsidRPr="006F3FCA">
        <w:rPr>
          <w:rFonts w:eastAsia="Calibri" w:cs="Arial"/>
          <w:szCs w:val="20"/>
          <w:lang w:val="sl-SI"/>
        </w:rPr>
        <w:t>Zaradi nujnih stikov med vročevalcem in naslovnikom v času trajanja ukrepov velja:</w:t>
      </w:r>
    </w:p>
    <w:p w:rsidR="00F8765D" w:rsidRPr="006F3FCA" w:rsidRDefault="00F8765D" w:rsidP="00F8765D">
      <w:pPr>
        <w:contextualSpacing/>
        <w:jc w:val="both"/>
        <w:rPr>
          <w:rFonts w:eastAsia="Calibri" w:cs="Arial"/>
          <w:szCs w:val="20"/>
          <w:lang w:val="sl-SI"/>
        </w:rPr>
      </w:pPr>
    </w:p>
    <w:p w:rsidR="00F8765D" w:rsidRPr="006F3FCA" w:rsidRDefault="00F8765D" w:rsidP="00F8765D">
      <w:pPr>
        <w:pStyle w:val="Odstavekseznama"/>
        <w:numPr>
          <w:ilvl w:val="0"/>
          <w:numId w:val="10"/>
        </w:numPr>
        <w:spacing w:after="0" w:line="260" w:lineRule="atLeast"/>
        <w:jc w:val="both"/>
        <w:rPr>
          <w:rFonts w:ascii="Arial" w:eastAsia="Calibri" w:hAnsi="Arial" w:cs="Arial"/>
          <w:sz w:val="20"/>
          <w:szCs w:val="20"/>
        </w:rPr>
      </w:pPr>
      <w:r w:rsidRPr="006F3FCA">
        <w:rPr>
          <w:rFonts w:ascii="Arial" w:eastAsia="Calibri" w:hAnsi="Arial" w:cs="Arial"/>
          <w:sz w:val="20"/>
          <w:szCs w:val="20"/>
        </w:rPr>
        <w:t xml:space="preserve">Ne izvaja se </w:t>
      </w:r>
      <w:r w:rsidRPr="006F3FCA">
        <w:rPr>
          <w:rFonts w:ascii="Arial" w:eastAsia="Times New Roman" w:hAnsi="Arial" w:cs="Arial"/>
          <w:b/>
          <w:sz w:val="20"/>
          <w:szCs w:val="20"/>
        </w:rPr>
        <w:t>osebnega vročanje</w:t>
      </w:r>
      <w:r w:rsidRPr="006F3FCA">
        <w:rPr>
          <w:rFonts w:ascii="Arial" w:eastAsia="Calibri" w:hAnsi="Arial" w:cs="Arial"/>
          <w:sz w:val="20"/>
          <w:szCs w:val="20"/>
        </w:rPr>
        <w:t xml:space="preserve"> po 87. členu ZUP, razen v nujnih zadevah. Ko govorimo o osebnem vročanju, govorimo o predpisanem postopku, ko pismonoša na naslovu poišče naslovnika in mu ob podpisu vročilnice (s strani obeh) izroči pošiljko. </w:t>
      </w:r>
    </w:p>
    <w:p w:rsidR="00F8765D" w:rsidRDefault="00F8765D" w:rsidP="00F8765D">
      <w:pPr>
        <w:pStyle w:val="Odstavekseznama"/>
        <w:spacing w:after="0" w:line="260" w:lineRule="atLeast"/>
        <w:jc w:val="both"/>
        <w:rPr>
          <w:rFonts w:ascii="Arial" w:eastAsia="Calibri" w:hAnsi="Arial" w:cs="Arial"/>
          <w:sz w:val="20"/>
          <w:szCs w:val="20"/>
        </w:rPr>
      </w:pPr>
      <w:r w:rsidRPr="006F3FCA">
        <w:rPr>
          <w:rFonts w:ascii="Arial" w:eastAsia="Calibri" w:hAnsi="Arial" w:cs="Arial"/>
          <w:sz w:val="20"/>
          <w:szCs w:val="20"/>
        </w:rPr>
        <w:t>Če bo osebna vročitev opravljena po uveljavitvi tega zakona, pa ne gre za nujne zadeve, bodo roki začeli teči naslednji dan po objavi sklepa vlade o prenehanju ukrepov oz</w:t>
      </w:r>
      <w:r w:rsidR="00394041">
        <w:rPr>
          <w:rFonts w:ascii="Arial" w:eastAsia="Calibri" w:hAnsi="Arial" w:cs="Arial"/>
          <w:sz w:val="20"/>
          <w:szCs w:val="20"/>
        </w:rPr>
        <w:t>iroma najkasneje 2. julija 2020.</w:t>
      </w:r>
    </w:p>
    <w:p w:rsidR="00A56D63" w:rsidRPr="00A56D63" w:rsidRDefault="00A56D63" w:rsidP="00A56D63">
      <w:pPr>
        <w:jc w:val="both"/>
        <w:rPr>
          <w:rFonts w:eastAsia="Calibri" w:cs="Arial"/>
          <w:color w:val="FF0000"/>
          <w:szCs w:val="20"/>
        </w:rPr>
      </w:pPr>
    </w:p>
    <w:p w:rsidR="00A56D63" w:rsidRDefault="00AB3155" w:rsidP="00A56D63">
      <w:pPr>
        <w:pStyle w:val="Odstavekseznama"/>
        <w:numPr>
          <w:ilvl w:val="0"/>
          <w:numId w:val="10"/>
        </w:numPr>
        <w:jc w:val="both"/>
        <w:rPr>
          <w:rFonts w:ascii="Arial" w:eastAsia="Calibri" w:hAnsi="Arial" w:cs="Arial"/>
          <w:color w:val="FF0000"/>
          <w:sz w:val="20"/>
          <w:szCs w:val="20"/>
        </w:rPr>
      </w:pPr>
      <w:r>
        <w:rPr>
          <w:rFonts w:ascii="Arial" w:eastAsia="Calibri" w:hAnsi="Arial" w:cs="Arial"/>
          <w:color w:val="FF0000"/>
          <w:sz w:val="20"/>
          <w:szCs w:val="20"/>
        </w:rPr>
        <w:t xml:space="preserve">Namesto osebnega vročanja po 87. členu ZUP, se lahko v nenujnih zadevah vročanje opravi </w:t>
      </w:r>
      <w:r w:rsidR="0042623D" w:rsidRPr="0042623D">
        <w:rPr>
          <w:rFonts w:ascii="Arial" w:eastAsia="Calibri" w:hAnsi="Arial" w:cs="Arial"/>
          <w:b/>
          <w:color w:val="FF0000"/>
          <w:sz w:val="20"/>
          <w:szCs w:val="20"/>
        </w:rPr>
        <w:t>z vložitvijo v hišni predalčnik, poštni predal ali v elektronski predal</w:t>
      </w:r>
      <w:r w:rsidR="00394041">
        <w:rPr>
          <w:rFonts w:ascii="Arial" w:eastAsia="Calibri" w:hAnsi="Arial" w:cs="Arial"/>
          <w:color w:val="FF0000"/>
          <w:sz w:val="20"/>
          <w:szCs w:val="20"/>
        </w:rPr>
        <w:t>.</w:t>
      </w:r>
    </w:p>
    <w:p w:rsidR="00A56D63" w:rsidRDefault="00A56D63" w:rsidP="00A56D63">
      <w:pPr>
        <w:pStyle w:val="Odstavekseznama"/>
        <w:jc w:val="both"/>
        <w:rPr>
          <w:rFonts w:ascii="Arial" w:eastAsia="Calibri" w:hAnsi="Arial" w:cs="Arial"/>
          <w:color w:val="FF0000"/>
          <w:sz w:val="20"/>
          <w:szCs w:val="20"/>
        </w:rPr>
      </w:pPr>
    </w:p>
    <w:p w:rsidR="0042623D" w:rsidRPr="0042623D" w:rsidRDefault="00A56D63" w:rsidP="00A56D63">
      <w:pPr>
        <w:pStyle w:val="Odstavekseznama"/>
        <w:jc w:val="both"/>
        <w:rPr>
          <w:rFonts w:ascii="Arial" w:eastAsia="Calibri" w:hAnsi="Arial" w:cs="Arial"/>
          <w:color w:val="FF0000"/>
          <w:sz w:val="20"/>
          <w:szCs w:val="20"/>
        </w:rPr>
      </w:pPr>
      <w:r>
        <w:rPr>
          <w:rFonts w:ascii="Arial" w:eastAsia="Calibri" w:hAnsi="Arial" w:cs="Arial"/>
          <w:color w:val="FF0000"/>
          <w:sz w:val="20"/>
          <w:szCs w:val="20"/>
        </w:rPr>
        <w:t xml:space="preserve">V tem primeru se šteje, da </w:t>
      </w:r>
      <w:r w:rsidR="009A4FC2">
        <w:rPr>
          <w:rFonts w:ascii="Arial" w:eastAsia="Calibri" w:hAnsi="Arial" w:cs="Arial"/>
          <w:color w:val="FF0000"/>
          <w:sz w:val="20"/>
          <w:szCs w:val="20"/>
        </w:rPr>
        <w:t>je vročitev opravljena 6</w:t>
      </w:r>
      <w:r w:rsidR="0042623D" w:rsidRPr="0042623D">
        <w:rPr>
          <w:rFonts w:ascii="Arial" w:eastAsia="Calibri" w:hAnsi="Arial" w:cs="Arial"/>
          <w:color w:val="FF0000"/>
          <w:sz w:val="20"/>
          <w:szCs w:val="20"/>
        </w:rPr>
        <w:t>. delovni dan od dneva odpreme. Izjema velja zgolj za vročanje v tujino v fizični obliki, kjer se št</w:t>
      </w:r>
      <w:r w:rsidR="009A4FC2">
        <w:rPr>
          <w:rFonts w:ascii="Arial" w:eastAsia="Calibri" w:hAnsi="Arial" w:cs="Arial"/>
          <w:color w:val="FF0000"/>
          <w:sz w:val="20"/>
          <w:szCs w:val="20"/>
        </w:rPr>
        <w:t>eje, da je vročitev opravljena 2</w:t>
      </w:r>
      <w:r w:rsidR="0042623D" w:rsidRPr="0042623D">
        <w:rPr>
          <w:rFonts w:ascii="Arial" w:eastAsia="Calibri" w:hAnsi="Arial" w:cs="Arial"/>
          <w:color w:val="FF0000"/>
          <w:sz w:val="20"/>
          <w:szCs w:val="20"/>
        </w:rPr>
        <w:t>0. delovni dan od dneva odpreme (v primeru vročanja v tujino po elektronski poti ve</w:t>
      </w:r>
      <w:r w:rsidR="00587D2B">
        <w:rPr>
          <w:rFonts w:ascii="Arial" w:eastAsia="Calibri" w:hAnsi="Arial" w:cs="Arial"/>
          <w:color w:val="FF0000"/>
          <w:sz w:val="20"/>
          <w:szCs w:val="20"/>
        </w:rPr>
        <w:t>lja, da je vročitev opravljena 6</w:t>
      </w:r>
      <w:r w:rsidR="0042623D" w:rsidRPr="0042623D">
        <w:rPr>
          <w:rFonts w:ascii="Arial" w:eastAsia="Calibri" w:hAnsi="Arial" w:cs="Arial"/>
          <w:color w:val="FF0000"/>
          <w:sz w:val="20"/>
          <w:szCs w:val="20"/>
        </w:rPr>
        <w:t xml:space="preserve">. delovni dan od dneva odpreme, saj ni potrebe po razlikovanju med vročanjem v državi in izven nje). </w:t>
      </w:r>
      <w:r w:rsidR="00394041">
        <w:rPr>
          <w:rFonts w:ascii="Arial" w:eastAsia="Calibri" w:hAnsi="Arial" w:cs="Arial"/>
          <w:color w:val="FF0000"/>
          <w:sz w:val="20"/>
          <w:szCs w:val="20"/>
        </w:rPr>
        <w:t>Datum odpre</w:t>
      </w:r>
      <w:r w:rsidR="002F1EA9">
        <w:rPr>
          <w:rFonts w:ascii="Arial" w:eastAsia="Calibri" w:hAnsi="Arial" w:cs="Arial"/>
          <w:color w:val="FF0000"/>
          <w:sz w:val="20"/>
          <w:szCs w:val="20"/>
        </w:rPr>
        <w:t>me, vročitve in s tem povezan tek roka bo razviden</w:t>
      </w:r>
      <w:r w:rsidR="00394041">
        <w:rPr>
          <w:rFonts w:ascii="Arial" w:eastAsia="Calibri" w:hAnsi="Arial" w:cs="Arial"/>
          <w:color w:val="FF0000"/>
          <w:sz w:val="20"/>
          <w:szCs w:val="20"/>
        </w:rPr>
        <w:t xml:space="preserve"> iz ovojnice oz. dokumenta. </w:t>
      </w:r>
    </w:p>
    <w:p w:rsidR="0042623D" w:rsidRPr="0042623D" w:rsidRDefault="0042623D" w:rsidP="0042623D">
      <w:pPr>
        <w:pStyle w:val="Odstavekseznama"/>
        <w:jc w:val="both"/>
        <w:rPr>
          <w:rFonts w:ascii="Arial" w:eastAsia="Calibri" w:hAnsi="Arial" w:cs="Arial"/>
          <w:color w:val="FF0000"/>
          <w:sz w:val="20"/>
          <w:szCs w:val="20"/>
        </w:rPr>
      </w:pPr>
    </w:p>
    <w:p w:rsidR="00394041" w:rsidRDefault="00394041" w:rsidP="0042623D">
      <w:pPr>
        <w:pStyle w:val="Odstavekseznama"/>
        <w:spacing w:after="0" w:line="260" w:lineRule="atLeast"/>
        <w:jc w:val="both"/>
        <w:rPr>
          <w:rFonts w:ascii="Arial" w:eastAsia="Calibri" w:hAnsi="Arial" w:cs="Arial"/>
          <w:color w:val="FF0000"/>
          <w:sz w:val="20"/>
          <w:szCs w:val="20"/>
        </w:rPr>
      </w:pPr>
      <w:r w:rsidRPr="00394041">
        <w:rPr>
          <w:rFonts w:ascii="Arial" w:eastAsia="Calibri" w:hAnsi="Arial" w:cs="Arial"/>
          <w:color w:val="FF0000"/>
          <w:sz w:val="20"/>
          <w:szCs w:val="20"/>
        </w:rPr>
        <w:t xml:space="preserve">Vročanje po elektronski poti se omogoča tudi v elektronski predal, ki ne izpolnjuje varnostnih in tehničnih pogojev za vročitev po 86. členu ZUP. Gre </w:t>
      </w:r>
      <w:r>
        <w:rPr>
          <w:rFonts w:ascii="Arial" w:eastAsia="Calibri" w:hAnsi="Arial" w:cs="Arial"/>
          <w:color w:val="FF0000"/>
          <w:sz w:val="20"/>
          <w:szCs w:val="20"/>
        </w:rPr>
        <w:t>za elektronski naslov, ki ga oseba navede v vlogi ali s katerega pošlje</w:t>
      </w:r>
      <w:r w:rsidRPr="00394041">
        <w:rPr>
          <w:rFonts w:ascii="Arial" w:eastAsia="Calibri" w:hAnsi="Arial" w:cs="Arial"/>
          <w:color w:val="FF0000"/>
          <w:sz w:val="20"/>
          <w:szCs w:val="20"/>
        </w:rPr>
        <w:t xml:space="preserve"> vlogo (npr. gmail). Pogoj za takšno vročitev je, da je vložnik vloge seznanjen z vročanjem na elektronski naslov in da s tem soglaša. Seznanitev bo lahko stranka zapisala v obrazec vloge, na katerem mora nedvomno izraziti voljo, da se vročanje opravlja na elektronski naslov. </w:t>
      </w:r>
      <w:r>
        <w:rPr>
          <w:rFonts w:ascii="Arial" w:eastAsia="Calibri" w:hAnsi="Arial" w:cs="Arial"/>
          <w:color w:val="FF0000"/>
          <w:sz w:val="20"/>
          <w:szCs w:val="20"/>
        </w:rPr>
        <w:t>Če tega na obrazcu vloge ni, bo uslužbenec predhodno pridobil</w:t>
      </w:r>
      <w:r w:rsidRPr="00394041">
        <w:rPr>
          <w:rFonts w:ascii="Arial" w:eastAsia="Calibri" w:hAnsi="Arial" w:cs="Arial"/>
          <w:color w:val="FF0000"/>
          <w:sz w:val="20"/>
          <w:szCs w:val="20"/>
        </w:rPr>
        <w:t xml:space="preserve"> izrecno soglasje vložnika (npr. po telefonu, elektronski poti ali kako drugače). </w:t>
      </w:r>
    </w:p>
    <w:p w:rsidR="00A56D63" w:rsidRPr="00394041" w:rsidRDefault="00A56D63" w:rsidP="00394041">
      <w:pPr>
        <w:jc w:val="both"/>
        <w:rPr>
          <w:rFonts w:eastAsia="Calibri" w:cs="Arial"/>
          <w:color w:val="FF0000"/>
          <w:szCs w:val="20"/>
        </w:rPr>
      </w:pPr>
    </w:p>
    <w:p w:rsidR="00394041" w:rsidRDefault="00A56D63" w:rsidP="0042623D">
      <w:pPr>
        <w:pStyle w:val="Odstavekseznama"/>
        <w:spacing w:after="0" w:line="260" w:lineRule="atLeast"/>
        <w:jc w:val="both"/>
        <w:rPr>
          <w:rFonts w:ascii="Arial" w:eastAsia="Calibri" w:hAnsi="Arial" w:cs="Arial"/>
          <w:color w:val="FF0000"/>
          <w:sz w:val="20"/>
          <w:szCs w:val="20"/>
        </w:rPr>
      </w:pPr>
      <w:r>
        <w:rPr>
          <w:rFonts w:ascii="Arial" w:eastAsia="Calibri" w:hAnsi="Arial" w:cs="Arial"/>
          <w:color w:val="FF0000"/>
          <w:sz w:val="20"/>
          <w:szCs w:val="20"/>
        </w:rPr>
        <w:t>P</w:t>
      </w:r>
      <w:r w:rsidRPr="00A56D63">
        <w:rPr>
          <w:rFonts w:ascii="Arial" w:eastAsia="Calibri" w:hAnsi="Arial" w:cs="Arial"/>
          <w:color w:val="FF0000"/>
          <w:sz w:val="20"/>
          <w:szCs w:val="20"/>
        </w:rPr>
        <w:t xml:space="preserve">ravila o vročanju v nenujnih zadevah </w:t>
      </w:r>
      <w:r>
        <w:rPr>
          <w:rFonts w:ascii="Arial" w:eastAsia="Calibri" w:hAnsi="Arial" w:cs="Arial"/>
          <w:color w:val="FF0000"/>
          <w:sz w:val="20"/>
          <w:szCs w:val="20"/>
        </w:rPr>
        <w:t xml:space="preserve">se </w:t>
      </w:r>
      <w:r w:rsidRPr="00A56D63">
        <w:rPr>
          <w:rFonts w:ascii="Arial" w:eastAsia="Calibri" w:hAnsi="Arial" w:cs="Arial"/>
          <w:color w:val="FF0000"/>
          <w:sz w:val="20"/>
          <w:szCs w:val="20"/>
        </w:rPr>
        <w:t xml:space="preserve">ne uporabljajo za vročanje v prekrškovnem postopku. </w:t>
      </w:r>
      <w:r w:rsidR="002F1EA9" w:rsidRPr="002F1EA9">
        <w:rPr>
          <w:rFonts w:ascii="Arial" w:eastAsia="Calibri" w:hAnsi="Arial" w:cs="Arial"/>
          <w:color w:val="FF0000"/>
          <w:sz w:val="20"/>
          <w:szCs w:val="20"/>
        </w:rPr>
        <w:t>Dokumente bomo vročali po sprostitvi izrednih razmer.</w:t>
      </w:r>
      <w:r w:rsidR="002F1EA9">
        <w:rPr>
          <w:rFonts w:ascii="Arial" w:eastAsia="Calibri" w:hAnsi="Arial" w:cs="Arial"/>
          <w:color w:val="FF0000"/>
          <w:sz w:val="20"/>
          <w:szCs w:val="20"/>
        </w:rPr>
        <w:t xml:space="preserve"> </w:t>
      </w:r>
    </w:p>
    <w:p w:rsidR="00F8765D" w:rsidRPr="006F3FCA" w:rsidRDefault="00F8765D" w:rsidP="00F8765D">
      <w:pPr>
        <w:contextualSpacing/>
        <w:jc w:val="both"/>
        <w:rPr>
          <w:rFonts w:eastAsia="Calibri" w:cs="Arial"/>
          <w:szCs w:val="20"/>
          <w:lang w:val="sl-SI"/>
        </w:rPr>
      </w:pPr>
    </w:p>
    <w:p w:rsidR="00F8765D" w:rsidRPr="006F3FCA" w:rsidRDefault="00F8765D" w:rsidP="00F8765D">
      <w:pPr>
        <w:pStyle w:val="Odstavekseznama"/>
        <w:numPr>
          <w:ilvl w:val="0"/>
          <w:numId w:val="10"/>
        </w:numPr>
        <w:spacing w:after="0" w:line="260" w:lineRule="atLeast"/>
        <w:jc w:val="both"/>
        <w:rPr>
          <w:rFonts w:ascii="Arial" w:eastAsia="Calibri" w:hAnsi="Arial" w:cs="Arial"/>
          <w:sz w:val="20"/>
          <w:szCs w:val="20"/>
        </w:rPr>
      </w:pPr>
      <w:r w:rsidRPr="006F3FCA">
        <w:rPr>
          <w:rFonts w:ascii="Arial" w:eastAsia="Times New Roman" w:hAnsi="Arial" w:cs="Arial"/>
          <w:b/>
          <w:sz w:val="20"/>
          <w:szCs w:val="20"/>
        </w:rPr>
        <w:t xml:space="preserve">Ne izvaja se vročanja v prostorih organa </w:t>
      </w:r>
      <w:r w:rsidRPr="006F3FCA">
        <w:rPr>
          <w:rFonts w:ascii="Arial" w:eastAsia="Times New Roman" w:hAnsi="Arial" w:cs="Arial"/>
          <w:sz w:val="20"/>
          <w:szCs w:val="20"/>
        </w:rPr>
        <w:t>(izjema so nujne zadeve, če je takšna vročitev predpisana z zakonom)</w:t>
      </w:r>
      <w:r w:rsidRPr="006F3FCA">
        <w:rPr>
          <w:rFonts w:ascii="Arial" w:eastAsia="Calibri" w:hAnsi="Arial" w:cs="Arial"/>
          <w:sz w:val="20"/>
          <w:szCs w:val="20"/>
        </w:rPr>
        <w:t>.</w:t>
      </w:r>
    </w:p>
    <w:p w:rsidR="00F8765D" w:rsidRPr="006F3FCA" w:rsidRDefault="00F8765D" w:rsidP="00F8765D">
      <w:pPr>
        <w:pStyle w:val="Odstavekseznama"/>
        <w:spacing w:after="0" w:line="260" w:lineRule="atLeast"/>
        <w:jc w:val="both"/>
        <w:rPr>
          <w:rFonts w:ascii="Arial" w:eastAsia="Calibri" w:hAnsi="Arial" w:cs="Arial"/>
          <w:sz w:val="20"/>
          <w:szCs w:val="20"/>
        </w:rPr>
      </w:pPr>
    </w:p>
    <w:p w:rsidR="00F8765D" w:rsidRPr="006F3FCA" w:rsidRDefault="00F8765D" w:rsidP="00F8765D">
      <w:pPr>
        <w:pStyle w:val="Odstavekseznama"/>
        <w:numPr>
          <w:ilvl w:val="0"/>
          <w:numId w:val="10"/>
        </w:numPr>
        <w:spacing w:after="0" w:line="260" w:lineRule="atLeast"/>
        <w:jc w:val="both"/>
        <w:rPr>
          <w:rFonts w:ascii="Arial" w:eastAsia="Calibri" w:hAnsi="Arial" w:cs="Arial"/>
          <w:sz w:val="20"/>
          <w:szCs w:val="20"/>
        </w:rPr>
      </w:pPr>
      <w:r w:rsidRPr="006F3FCA">
        <w:rPr>
          <w:rFonts w:ascii="Arial" w:eastAsia="Calibri" w:hAnsi="Arial" w:cs="Arial"/>
          <w:sz w:val="20"/>
          <w:szCs w:val="20"/>
        </w:rPr>
        <w:t xml:space="preserve">Vročanje </w:t>
      </w:r>
      <w:r w:rsidRPr="006F3FCA">
        <w:rPr>
          <w:rFonts w:ascii="Arial" w:eastAsia="Times New Roman" w:hAnsi="Arial" w:cs="Arial"/>
          <w:b/>
          <w:sz w:val="20"/>
          <w:szCs w:val="20"/>
        </w:rPr>
        <w:t xml:space="preserve">z javnim naznanilom </w:t>
      </w:r>
      <w:r w:rsidRPr="006F3FCA">
        <w:rPr>
          <w:rFonts w:ascii="Arial" w:eastAsia="Times New Roman" w:hAnsi="Arial" w:cs="Arial"/>
          <w:sz w:val="20"/>
          <w:szCs w:val="20"/>
        </w:rPr>
        <w:t>se</w:t>
      </w:r>
      <w:r w:rsidRPr="006F3FCA">
        <w:rPr>
          <w:rFonts w:ascii="Arial" w:eastAsia="Calibri" w:hAnsi="Arial" w:cs="Arial"/>
          <w:sz w:val="20"/>
          <w:szCs w:val="20"/>
        </w:rPr>
        <w:t xml:space="preserve"> izvaja tako, da se sporočilo o vročanju z javnim naznanilom objavi na državnem portalu eUprava. S tem se izključi obveznost objave sporočil na oglasni deski organa, kar bi bil lahko razlog, da bi stranke hodile k organu.</w:t>
      </w:r>
    </w:p>
    <w:p w:rsidR="00F8765D" w:rsidRPr="006F3FCA" w:rsidRDefault="00F8765D" w:rsidP="00F8765D">
      <w:pPr>
        <w:contextualSpacing/>
        <w:jc w:val="both"/>
        <w:rPr>
          <w:rFonts w:eastAsia="Calibri" w:cs="Arial"/>
          <w:szCs w:val="20"/>
          <w:lang w:val="sl-SI"/>
        </w:rPr>
      </w:pPr>
    </w:p>
    <w:p w:rsidR="00F8765D" w:rsidRPr="006F3FCA" w:rsidRDefault="00F8765D" w:rsidP="00F8765D">
      <w:pPr>
        <w:jc w:val="both"/>
        <w:rPr>
          <w:rFonts w:cs="Arial"/>
          <w:szCs w:val="20"/>
          <w:lang w:val="sl-SI"/>
        </w:rPr>
      </w:pPr>
      <w:r w:rsidRPr="006F3FCA">
        <w:rPr>
          <w:rFonts w:cs="Arial"/>
          <w:szCs w:val="20"/>
          <w:lang w:val="sl-SI"/>
        </w:rPr>
        <w:t>Finančna uprava bo tako v času veljavnosti teh ukrepov</w:t>
      </w:r>
      <w:r w:rsidR="00AB3155">
        <w:rPr>
          <w:rFonts w:cs="Arial"/>
          <w:szCs w:val="20"/>
          <w:lang w:val="sl-SI"/>
        </w:rPr>
        <w:t xml:space="preserve"> </w:t>
      </w:r>
      <w:r w:rsidR="00AB3155" w:rsidRPr="00AB3155">
        <w:rPr>
          <w:rFonts w:cs="Arial"/>
          <w:color w:val="FF0000"/>
          <w:szCs w:val="20"/>
          <w:lang w:val="sl-SI"/>
        </w:rPr>
        <w:t>v večini primerov</w:t>
      </w:r>
      <w:r w:rsidRPr="00AB3155">
        <w:rPr>
          <w:rFonts w:cs="Arial"/>
          <w:color w:val="FF0000"/>
          <w:szCs w:val="20"/>
          <w:lang w:val="sl-SI"/>
        </w:rPr>
        <w:t xml:space="preserve"> </w:t>
      </w:r>
      <w:r w:rsidRPr="006F3FCA">
        <w:rPr>
          <w:rFonts w:cs="Arial"/>
          <w:szCs w:val="20"/>
          <w:lang w:val="sl-SI"/>
        </w:rPr>
        <w:t>izvajala ostale načine vročanja v skladu z veljavno zakonodajo – npr. elektronsko vročanje prek portala eDavki in navadno vročanje v skladu z določbami 85. in 85.a člena ZDavP-2, v nujnih zadevah pa tudi oseb</w:t>
      </w:r>
      <w:r w:rsidR="00B61979" w:rsidRPr="006F3FCA">
        <w:rPr>
          <w:rFonts w:cs="Arial"/>
          <w:szCs w:val="20"/>
          <w:lang w:val="sl-SI"/>
        </w:rPr>
        <w:t>no vročanje po 87. členu ZUP</w:t>
      </w:r>
      <w:r w:rsidRPr="006F3FCA">
        <w:rPr>
          <w:rFonts w:cs="Arial"/>
          <w:szCs w:val="20"/>
          <w:lang w:val="sl-SI"/>
        </w:rPr>
        <w:t xml:space="preserve"> in vročanje v prostorih organa, če to določa zakon. </w:t>
      </w:r>
    </w:p>
    <w:p w:rsidR="00F57FED" w:rsidRPr="006F3FCA" w:rsidRDefault="00F57FED" w:rsidP="007D75CF">
      <w:pPr>
        <w:rPr>
          <w:lang w:val="sl-SI"/>
        </w:rPr>
      </w:pPr>
    </w:p>
    <w:p w:rsidR="007E6DC5" w:rsidRPr="006F3FCA" w:rsidRDefault="007E6DC5" w:rsidP="007D75CF">
      <w:pPr>
        <w:rPr>
          <w:lang w:val="sl-SI"/>
        </w:rPr>
      </w:pPr>
    </w:p>
    <w:p w:rsidR="006F3FCA" w:rsidRPr="006F3FCA" w:rsidRDefault="006F3FCA" w:rsidP="006F3FCA">
      <w:pPr>
        <w:keepNext/>
        <w:keepLines/>
        <w:numPr>
          <w:ilvl w:val="0"/>
          <w:numId w:val="6"/>
        </w:numPr>
        <w:outlineLvl w:val="1"/>
        <w:rPr>
          <w:rFonts w:cs="Arial"/>
          <w:b/>
          <w:szCs w:val="20"/>
          <w:lang w:val="sl-SI"/>
        </w:rPr>
      </w:pPr>
      <w:r w:rsidRPr="006F3FCA">
        <w:rPr>
          <w:rFonts w:cs="Arial"/>
          <w:b/>
          <w:szCs w:val="20"/>
          <w:lang w:val="sl-SI"/>
        </w:rPr>
        <w:t>Postopki finančnega nadzora - začasni ukrepi v upravnih in drugih javnih zadevah</w:t>
      </w:r>
    </w:p>
    <w:p w:rsidR="006F3FCA" w:rsidRPr="006F3FCA" w:rsidRDefault="006F3FCA" w:rsidP="006F3FCA">
      <w:pPr>
        <w:rPr>
          <w:color w:val="1F497D"/>
          <w:lang w:val="sl-SI"/>
        </w:rPr>
      </w:pPr>
    </w:p>
    <w:p w:rsidR="006F3FCA" w:rsidRPr="006F3FCA" w:rsidRDefault="006F3FCA" w:rsidP="006F3FCA">
      <w:pPr>
        <w:spacing w:after="240"/>
        <w:jc w:val="both"/>
        <w:rPr>
          <w:rFonts w:cs="Arial"/>
          <w:szCs w:val="20"/>
          <w:lang w:val="sl-SI"/>
        </w:rPr>
      </w:pPr>
      <w:r w:rsidRPr="006F3FCA">
        <w:rPr>
          <w:rFonts w:cs="Arial"/>
          <w:szCs w:val="20"/>
          <w:lang w:val="sl-SI"/>
        </w:rPr>
        <w:t>Nadzor, za katerega je pristojna Finančna uprava RS, prilagajamo razmeram, s katerimi se soočamo zaradi koronavirusa. Usmeritve za  delo na področju finančnega nadzora usklajujemo, upoštevajoč sprejeto interventno zakonodajo.</w:t>
      </w:r>
    </w:p>
    <w:p w:rsidR="006F3FCA" w:rsidRPr="006F3FCA" w:rsidRDefault="006F3FCA" w:rsidP="006F3FCA">
      <w:pPr>
        <w:jc w:val="both"/>
        <w:rPr>
          <w:rFonts w:cs="Arial"/>
          <w:szCs w:val="20"/>
          <w:lang w:val="sl-SI"/>
        </w:rPr>
      </w:pPr>
      <w:r w:rsidRPr="006F3FCA">
        <w:rPr>
          <w:rFonts w:cs="Arial"/>
          <w:szCs w:val="20"/>
          <w:lang w:val="sl-SI"/>
        </w:rPr>
        <w:t xml:space="preserve">FURS izvaja inšpekcijske postopke, </w:t>
      </w:r>
      <w:r w:rsidRPr="006F3FCA">
        <w:rPr>
          <w:rFonts w:cs="Arial"/>
          <w:b/>
          <w:bCs/>
          <w:szCs w:val="20"/>
          <w:lang w:val="sl-SI"/>
        </w:rPr>
        <w:t>v nujnih zadevah</w:t>
      </w:r>
      <w:r w:rsidRPr="006F3FCA">
        <w:rPr>
          <w:rFonts w:cs="Arial"/>
          <w:szCs w:val="20"/>
          <w:lang w:val="sl-SI"/>
        </w:rPr>
        <w:t xml:space="preserve">, kot jih opredeljuje Zakon o začasnih ukrepih v zvezi s sodnimi, upravnimi in drugimi javnopravnimi zadevami za obvladovanje širjenja nalezljive bolezni SARS-CoV-2 (COVID-19) (ZZUSUDJZ) in so tiste, kjer obstaja nevarnost za življenje in zdravje ljudi, za javni red in mir, za javno varnost, za premoženje večje vrednosti, če je od odločitve v zadevi odvisno preživljanje stranke, če je od odločitve odvisno uveljavljanje drugih pravic, ali če je to nujno za učinkovito izvajanje oblasti za dosego namena tega zakona. </w:t>
      </w:r>
    </w:p>
    <w:p w:rsidR="006F3FCA" w:rsidRPr="006F3FCA" w:rsidRDefault="006F3FCA" w:rsidP="006F3FCA">
      <w:pPr>
        <w:spacing w:line="276" w:lineRule="auto"/>
        <w:jc w:val="both"/>
        <w:rPr>
          <w:rFonts w:cs="Arial"/>
          <w:szCs w:val="20"/>
          <w:lang w:val="sl-SI"/>
        </w:rPr>
      </w:pPr>
    </w:p>
    <w:p w:rsidR="006F3FCA" w:rsidRPr="006F3FCA" w:rsidRDefault="006F3FCA" w:rsidP="006F3FCA">
      <w:pPr>
        <w:spacing w:line="276" w:lineRule="auto"/>
        <w:jc w:val="both"/>
        <w:rPr>
          <w:rFonts w:cs="Arial"/>
          <w:szCs w:val="20"/>
          <w:lang w:val="sl-SI"/>
        </w:rPr>
      </w:pPr>
      <w:r w:rsidRPr="006F3FCA">
        <w:rPr>
          <w:rFonts w:cs="Arial"/>
          <w:szCs w:val="20"/>
          <w:lang w:val="sl-SI"/>
        </w:rPr>
        <w:t xml:space="preserve">Skladno z ZZUSUDJZ je </w:t>
      </w:r>
      <w:r w:rsidRPr="006F3FCA">
        <w:rPr>
          <w:rFonts w:cs="Arial"/>
          <w:b/>
          <w:bCs/>
          <w:szCs w:val="20"/>
          <w:lang w:val="sl-SI"/>
        </w:rPr>
        <w:t>v finančnih nadzorih, ki niso opredeljeni kot nujni</w:t>
      </w:r>
      <w:r w:rsidRPr="006F3FCA">
        <w:rPr>
          <w:rFonts w:cs="Arial"/>
          <w:szCs w:val="20"/>
          <w:lang w:val="sl-SI"/>
        </w:rPr>
        <w:t>, prekinjen tek procesnih in materialnih rokov v času trajanja izrednih razmer. Slednje pa ne pomeni, da v tem času ne tečejo obresti, ki se obračunavajo skladno s 95. členom Zakona o davčnem postopku (Uradni list RS, št. 13/11 – uradno prečiščeno besedilo, 32/12, 94/12, 101/13 – ZDavNepr, 111/13, 22/14 – odl. US, 25/14 – ZFU, 40/14 – ZIN-B, 90/14, 91/15, 63/16, 69/17, 13/18 – ZJF-H, 36/19 in 66/19).</w:t>
      </w:r>
    </w:p>
    <w:p w:rsidR="006F3FCA" w:rsidRPr="006F3FCA" w:rsidRDefault="006F3FCA" w:rsidP="006F3FCA">
      <w:pPr>
        <w:jc w:val="both"/>
        <w:rPr>
          <w:rFonts w:cs="Arial"/>
          <w:szCs w:val="20"/>
          <w:lang w:val="sl-SI"/>
        </w:rPr>
      </w:pPr>
    </w:p>
    <w:p w:rsidR="006F3FCA" w:rsidRPr="006F3FCA" w:rsidRDefault="006F3FCA" w:rsidP="006F3FCA">
      <w:pPr>
        <w:spacing w:after="240"/>
        <w:jc w:val="both"/>
        <w:rPr>
          <w:rFonts w:cs="Arial"/>
          <w:szCs w:val="20"/>
          <w:lang w:val="sl-SI"/>
        </w:rPr>
      </w:pPr>
      <w:r w:rsidRPr="006F3FCA">
        <w:rPr>
          <w:rFonts w:cs="Arial"/>
          <w:szCs w:val="20"/>
          <w:lang w:val="sl-SI"/>
        </w:rPr>
        <w:t>FURS, upoštevajoč dane razmere, izvaja tudi postopke finančnega nadzora v primerih, ki po zgornji definiciji niso nujni, in so bili</w:t>
      </w:r>
      <w:r w:rsidRPr="006F3FCA">
        <w:rPr>
          <w:rFonts w:cs="Arial"/>
          <w:color w:val="1F497D"/>
          <w:szCs w:val="20"/>
          <w:lang w:val="sl-SI"/>
        </w:rPr>
        <w:t xml:space="preserve"> </w:t>
      </w:r>
      <w:r w:rsidRPr="006F3FCA">
        <w:rPr>
          <w:rFonts w:cs="Arial"/>
          <w:szCs w:val="20"/>
          <w:lang w:val="sl-SI"/>
        </w:rPr>
        <w:t>začeti že pred uveljavitvijo zakona. V teh primerih so vsi dokazi že izvedeni, dejstva in okoliščine pa razčiščene v tolikšni meri, da za ugotovitev dejanskega stanja, sodelovanje zavezanca ni več potrebno. V aktih, ki so izdani v teh primerih, so upoštevane določbe glede prekinitve teka rokov (rok za izpolnitev, roki v pravnem pouku).</w:t>
      </w:r>
    </w:p>
    <w:p w:rsidR="00F02E53" w:rsidRDefault="006F3FCA" w:rsidP="00067989">
      <w:pPr>
        <w:spacing w:after="240"/>
        <w:jc w:val="both"/>
        <w:rPr>
          <w:rStyle w:val="Hiperpovezava"/>
          <w:rFonts w:cs="Arial"/>
          <w:szCs w:val="20"/>
          <w:lang w:val="sl-SI"/>
        </w:rPr>
      </w:pPr>
      <w:r w:rsidRPr="006F3FCA">
        <w:rPr>
          <w:rFonts w:cs="Arial"/>
          <w:szCs w:val="20"/>
          <w:lang w:val="sl-SI"/>
        </w:rPr>
        <w:t xml:space="preserve">Glede na to, da interventna zakonodaja teka obresti, ki so ugotovljene v postopku nadzora, ne prekinja, je zaključevanje postopkov nadzora lahko tudi v interesu zavezancev. V povezavi s tem izpostavljamo možnosti oddaje samoprijave oz. predložitev davčnega obračuna v postopku davčnega inšpekcijskega nadzora (140. a člen ZDavP-2); več o tem na </w:t>
      </w:r>
      <w:hyperlink r:id="rId12" w:history="1">
        <w:r w:rsidRPr="006F3FCA">
          <w:rPr>
            <w:rStyle w:val="Hiperpovezava"/>
            <w:rFonts w:cs="Arial"/>
            <w:szCs w:val="20"/>
            <w:lang w:val="sl-SI"/>
          </w:rPr>
          <w:t>https://edavki.durs.si/edavkiportal/openportal/CommonPages/Opdynp/PageD.aspx?category=samoprijava_po</w:t>
        </w:r>
      </w:hyperlink>
    </w:p>
    <w:p w:rsidR="00067989" w:rsidRPr="00067989" w:rsidRDefault="00067989" w:rsidP="00067989">
      <w:pPr>
        <w:spacing w:after="240"/>
        <w:jc w:val="both"/>
        <w:rPr>
          <w:rFonts w:cs="Arial"/>
          <w:szCs w:val="20"/>
          <w:lang w:val="sl-SI"/>
        </w:rPr>
      </w:pPr>
    </w:p>
    <w:sectPr w:rsidR="00067989" w:rsidRPr="00067989" w:rsidSect="00F0025B">
      <w:headerReference w:type="default" r:id="rId13"/>
      <w:footerReference w:type="default" r:id="rId14"/>
      <w:headerReference w:type="first" r:id="rId15"/>
      <w:footerReference w:type="first" r:id="rId16"/>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8C6" w:rsidRDefault="00C968C6">
      <w:pPr>
        <w:spacing w:line="240" w:lineRule="auto"/>
      </w:pPr>
      <w:r>
        <w:separator/>
      </w:r>
    </w:p>
  </w:endnote>
  <w:endnote w:type="continuationSeparator" w:id="0">
    <w:p w:rsidR="00C968C6" w:rsidRDefault="00C96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altName w:val="Arial"/>
    <w:panose1 w:val="02000506040000020004"/>
    <w:charset w:val="EE"/>
    <w:family w:val="auto"/>
    <w:pitch w:val="variable"/>
    <w:sig w:usb0="A00000FF" w:usb1="4000205B"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D63" w:rsidRDefault="00A56D63" w:rsidP="00751D38">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3D11FC">
      <w:rPr>
        <w:rFonts w:cs="Arial"/>
        <w:noProof/>
        <w:sz w:val="16"/>
      </w:rPr>
      <w:t>4</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D11FC">
      <w:rPr>
        <w:rFonts w:cs="Arial"/>
        <w:noProof/>
        <w:sz w:val="16"/>
      </w:rPr>
      <w:t>5</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D63" w:rsidRDefault="00A56D63"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723AC5">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723AC5">
      <w:rPr>
        <w:rFonts w:cs="Arial"/>
        <w:noProof/>
        <w:sz w:val="16"/>
      </w:rPr>
      <w:t>5</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8C6" w:rsidRDefault="00C968C6">
      <w:pPr>
        <w:spacing w:line="240" w:lineRule="auto"/>
      </w:pPr>
      <w:r>
        <w:separator/>
      </w:r>
    </w:p>
  </w:footnote>
  <w:footnote w:type="continuationSeparator" w:id="0">
    <w:p w:rsidR="00C968C6" w:rsidRDefault="00C968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D63" w:rsidRPr="00110CBD" w:rsidRDefault="00A56D63" w:rsidP="007D75CF">
    <w:pPr>
      <w:pStyle w:val="Header0"/>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56D63">
      <w:trPr>
        <w:cantSplit/>
        <w:trHeight w:hRule="exact" w:val="847"/>
      </w:trPr>
      <w:tc>
        <w:tcPr>
          <w:tcW w:w="567" w:type="dxa"/>
        </w:tcPr>
        <w:p w:rsidR="00A56D63" w:rsidRDefault="00A56D63" w:rsidP="00D248DE">
          <w:pPr>
            <w:pStyle w:val="Normal2"/>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rsidR="00A56D63" w:rsidRPr="006D42D9" w:rsidRDefault="00A56D63" w:rsidP="006D42D9">
          <w:pPr>
            <w:pStyle w:val="Normal2"/>
            <w:rPr>
              <w:rFonts w:ascii="Republika" w:hAnsi="Republika"/>
              <w:sz w:val="60"/>
              <w:szCs w:val="60"/>
              <w:lang w:val="sl-SI"/>
            </w:rPr>
          </w:pPr>
        </w:p>
        <w:p w:rsidR="00A56D63" w:rsidRPr="006D42D9" w:rsidRDefault="00A56D63" w:rsidP="006D42D9">
          <w:pPr>
            <w:pStyle w:val="Normal2"/>
            <w:rPr>
              <w:rFonts w:ascii="Republika" w:hAnsi="Republika"/>
              <w:sz w:val="60"/>
              <w:szCs w:val="60"/>
              <w:lang w:val="sl-SI"/>
            </w:rPr>
          </w:pPr>
        </w:p>
        <w:p w:rsidR="00A56D63" w:rsidRPr="006D42D9" w:rsidRDefault="00A56D63" w:rsidP="006D42D9">
          <w:pPr>
            <w:pStyle w:val="Normal2"/>
            <w:rPr>
              <w:rFonts w:ascii="Republika" w:hAnsi="Republika"/>
              <w:sz w:val="60"/>
              <w:szCs w:val="60"/>
              <w:lang w:val="sl-SI"/>
            </w:rPr>
          </w:pPr>
        </w:p>
        <w:p w:rsidR="00A56D63" w:rsidRPr="006D42D9" w:rsidRDefault="00A56D63" w:rsidP="006D42D9">
          <w:pPr>
            <w:pStyle w:val="Normal2"/>
            <w:rPr>
              <w:rFonts w:ascii="Republika" w:hAnsi="Republika"/>
              <w:sz w:val="60"/>
              <w:szCs w:val="60"/>
              <w:lang w:val="sl-SI"/>
            </w:rPr>
          </w:pPr>
        </w:p>
        <w:p w:rsidR="00A56D63" w:rsidRPr="006D42D9" w:rsidRDefault="00A56D63" w:rsidP="006D42D9">
          <w:pPr>
            <w:pStyle w:val="Normal2"/>
            <w:rPr>
              <w:rFonts w:ascii="Republika" w:hAnsi="Republika"/>
              <w:sz w:val="60"/>
              <w:szCs w:val="60"/>
              <w:lang w:val="sl-SI"/>
            </w:rPr>
          </w:pPr>
        </w:p>
        <w:p w:rsidR="00A56D63" w:rsidRPr="006D42D9" w:rsidRDefault="00A56D63" w:rsidP="006D42D9">
          <w:pPr>
            <w:pStyle w:val="Normal2"/>
            <w:rPr>
              <w:rFonts w:ascii="Republika" w:hAnsi="Republika"/>
              <w:sz w:val="60"/>
              <w:szCs w:val="60"/>
              <w:lang w:val="sl-SI"/>
            </w:rPr>
          </w:pPr>
        </w:p>
        <w:p w:rsidR="00A56D63" w:rsidRPr="006D42D9" w:rsidRDefault="00A56D63" w:rsidP="006D42D9">
          <w:pPr>
            <w:pStyle w:val="Normal2"/>
            <w:rPr>
              <w:rFonts w:ascii="Republika" w:hAnsi="Republika"/>
              <w:sz w:val="60"/>
              <w:szCs w:val="60"/>
              <w:lang w:val="sl-SI"/>
            </w:rPr>
          </w:pPr>
        </w:p>
        <w:p w:rsidR="00A56D63" w:rsidRPr="006D42D9" w:rsidRDefault="00A56D63" w:rsidP="006D42D9">
          <w:pPr>
            <w:pStyle w:val="Normal2"/>
            <w:rPr>
              <w:rFonts w:ascii="Republika" w:hAnsi="Republika"/>
              <w:sz w:val="60"/>
              <w:szCs w:val="60"/>
              <w:lang w:val="sl-SI"/>
            </w:rPr>
          </w:pPr>
        </w:p>
        <w:p w:rsidR="00A56D63" w:rsidRPr="006D42D9" w:rsidRDefault="00A56D63" w:rsidP="006D42D9">
          <w:pPr>
            <w:pStyle w:val="Normal2"/>
            <w:rPr>
              <w:rFonts w:ascii="Republika" w:hAnsi="Republika"/>
              <w:sz w:val="60"/>
              <w:szCs w:val="60"/>
              <w:lang w:val="sl-SI"/>
            </w:rPr>
          </w:pPr>
        </w:p>
        <w:p w:rsidR="00A56D63" w:rsidRPr="006D42D9" w:rsidRDefault="00A56D63" w:rsidP="006D42D9">
          <w:pPr>
            <w:pStyle w:val="Normal2"/>
            <w:rPr>
              <w:rFonts w:ascii="Republika" w:hAnsi="Republika"/>
              <w:sz w:val="60"/>
              <w:szCs w:val="60"/>
              <w:lang w:val="sl-SI"/>
            </w:rPr>
          </w:pPr>
        </w:p>
        <w:p w:rsidR="00A56D63" w:rsidRPr="006D42D9" w:rsidRDefault="00A56D63" w:rsidP="006D42D9">
          <w:pPr>
            <w:pStyle w:val="Normal2"/>
            <w:rPr>
              <w:rFonts w:ascii="Republika" w:hAnsi="Republika"/>
              <w:sz w:val="60"/>
              <w:szCs w:val="60"/>
              <w:lang w:val="sl-SI"/>
            </w:rPr>
          </w:pPr>
        </w:p>
        <w:p w:rsidR="00A56D63" w:rsidRPr="006D42D9" w:rsidRDefault="00A56D63" w:rsidP="006D42D9">
          <w:pPr>
            <w:pStyle w:val="Normal2"/>
            <w:rPr>
              <w:rFonts w:ascii="Republika" w:hAnsi="Republika"/>
              <w:sz w:val="60"/>
              <w:szCs w:val="60"/>
              <w:lang w:val="sl-SI"/>
            </w:rPr>
          </w:pPr>
        </w:p>
        <w:p w:rsidR="00A56D63" w:rsidRPr="006D42D9" w:rsidRDefault="00A56D63" w:rsidP="006D42D9">
          <w:pPr>
            <w:pStyle w:val="Normal2"/>
            <w:rPr>
              <w:rFonts w:ascii="Republika" w:hAnsi="Republika"/>
              <w:sz w:val="60"/>
              <w:szCs w:val="60"/>
              <w:lang w:val="sl-SI"/>
            </w:rPr>
          </w:pPr>
        </w:p>
        <w:p w:rsidR="00A56D63" w:rsidRPr="006D42D9" w:rsidRDefault="00A56D63" w:rsidP="006D42D9">
          <w:pPr>
            <w:pStyle w:val="Normal2"/>
            <w:rPr>
              <w:rFonts w:ascii="Republika" w:hAnsi="Republika"/>
              <w:sz w:val="60"/>
              <w:szCs w:val="60"/>
              <w:lang w:val="sl-SI"/>
            </w:rPr>
          </w:pPr>
        </w:p>
        <w:p w:rsidR="00A56D63" w:rsidRPr="006D42D9" w:rsidRDefault="00A56D63" w:rsidP="006D42D9">
          <w:pPr>
            <w:pStyle w:val="Normal2"/>
            <w:rPr>
              <w:rFonts w:ascii="Republika" w:hAnsi="Republika"/>
              <w:sz w:val="60"/>
              <w:szCs w:val="60"/>
              <w:lang w:val="sl-SI"/>
            </w:rPr>
          </w:pPr>
        </w:p>
        <w:p w:rsidR="00A56D63" w:rsidRPr="006D42D9" w:rsidRDefault="00A56D63" w:rsidP="006D42D9">
          <w:pPr>
            <w:pStyle w:val="Normal2"/>
            <w:rPr>
              <w:rFonts w:ascii="Republika" w:hAnsi="Republika"/>
              <w:sz w:val="60"/>
              <w:szCs w:val="60"/>
              <w:lang w:val="sl-SI"/>
            </w:rPr>
          </w:pPr>
        </w:p>
      </w:tc>
    </w:tr>
  </w:tbl>
  <w:p w:rsidR="00A56D63" w:rsidRPr="008F3500" w:rsidRDefault="00A56D63" w:rsidP="00924E3C">
    <w:pPr>
      <w:pStyle w:val="Normal3"/>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644FF139" wp14:editId="644FF13A">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C789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rsidR="00A56D63" w:rsidRPr="00FD746A" w:rsidRDefault="00A56D63" w:rsidP="00924E3C">
    <w:pPr>
      <w:pStyle w:val="Header1"/>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rsidR="00A56D63" w:rsidRDefault="00A56D63" w:rsidP="00ED7E82">
    <w:pPr>
      <w:pStyle w:val="Header2"/>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A56D63" w:rsidRPr="00A12D5C" w:rsidRDefault="00A56D63" w:rsidP="00ED7E82">
    <w:pPr>
      <w:pStyle w:val="Header3"/>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rsidR="00A56D63" w:rsidRPr="008F3500" w:rsidRDefault="00A56D63" w:rsidP="00ED7E82">
    <w:pPr>
      <w:pStyle w:val="Header4"/>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A56D63" w:rsidRPr="008F3500" w:rsidRDefault="00A56D63" w:rsidP="00924E3C">
    <w:pPr>
      <w:pStyle w:val="Header5"/>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A56D63" w:rsidRPr="008F3500" w:rsidRDefault="00A56D63" w:rsidP="007D75CF">
    <w:pPr>
      <w:pStyle w:val="Header6"/>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A56D63" w:rsidRPr="008F3500" w:rsidRDefault="00A56D63" w:rsidP="007D75CF">
    <w:pPr>
      <w:pStyle w:val="Header7"/>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A56D63" w:rsidRPr="008F3500" w:rsidRDefault="00A56D63" w:rsidP="007D75CF">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265B"/>
    <w:multiLevelType w:val="hybridMultilevel"/>
    <w:tmpl w:val="39A6FAF4"/>
    <w:lvl w:ilvl="0" w:tplc="07BE85E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5462B7"/>
    <w:multiLevelType w:val="hybridMultilevel"/>
    <w:tmpl w:val="B9EAED82"/>
    <w:lvl w:ilvl="0" w:tplc="DBC4993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E25CD1"/>
    <w:multiLevelType w:val="hybridMultilevel"/>
    <w:tmpl w:val="2D24329E"/>
    <w:lvl w:ilvl="0" w:tplc="C78012D2">
      <w:start w:val="1"/>
      <w:numFmt w:val="decimal"/>
      <w:lvlText w:val="%1."/>
      <w:lvlJc w:val="left"/>
      <w:pPr>
        <w:tabs>
          <w:tab w:val="num" w:pos="1080"/>
        </w:tabs>
        <w:ind w:left="1080" w:hanging="360"/>
      </w:pPr>
      <w:rPr>
        <w:rFonts w:hint="default"/>
      </w:rPr>
    </w:lvl>
    <w:lvl w:ilvl="1" w:tplc="80189A54" w:tentative="1">
      <w:start w:val="1"/>
      <w:numFmt w:val="lowerLetter"/>
      <w:lvlText w:val="%2."/>
      <w:lvlJc w:val="left"/>
      <w:pPr>
        <w:ind w:left="1800" w:hanging="360"/>
      </w:pPr>
    </w:lvl>
    <w:lvl w:ilvl="2" w:tplc="09BEF832" w:tentative="1">
      <w:start w:val="1"/>
      <w:numFmt w:val="lowerRoman"/>
      <w:lvlText w:val="%3."/>
      <w:lvlJc w:val="right"/>
      <w:pPr>
        <w:ind w:left="2520" w:hanging="180"/>
      </w:pPr>
    </w:lvl>
    <w:lvl w:ilvl="3" w:tplc="33DA9B3C" w:tentative="1">
      <w:start w:val="1"/>
      <w:numFmt w:val="decimal"/>
      <w:lvlText w:val="%4."/>
      <w:lvlJc w:val="left"/>
      <w:pPr>
        <w:ind w:left="3240" w:hanging="360"/>
      </w:pPr>
    </w:lvl>
    <w:lvl w:ilvl="4" w:tplc="E26E29FC" w:tentative="1">
      <w:start w:val="1"/>
      <w:numFmt w:val="lowerLetter"/>
      <w:lvlText w:val="%5."/>
      <w:lvlJc w:val="left"/>
      <w:pPr>
        <w:ind w:left="3960" w:hanging="360"/>
      </w:pPr>
    </w:lvl>
    <w:lvl w:ilvl="5" w:tplc="24043AC6" w:tentative="1">
      <w:start w:val="1"/>
      <w:numFmt w:val="lowerRoman"/>
      <w:lvlText w:val="%6."/>
      <w:lvlJc w:val="right"/>
      <w:pPr>
        <w:ind w:left="4680" w:hanging="180"/>
      </w:pPr>
    </w:lvl>
    <w:lvl w:ilvl="6" w:tplc="43B034B4" w:tentative="1">
      <w:start w:val="1"/>
      <w:numFmt w:val="decimal"/>
      <w:lvlText w:val="%7."/>
      <w:lvlJc w:val="left"/>
      <w:pPr>
        <w:ind w:left="5400" w:hanging="360"/>
      </w:pPr>
    </w:lvl>
    <w:lvl w:ilvl="7" w:tplc="60646EB6" w:tentative="1">
      <w:start w:val="1"/>
      <w:numFmt w:val="lowerLetter"/>
      <w:lvlText w:val="%8."/>
      <w:lvlJc w:val="left"/>
      <w:pPr>
        <w:ind w:left="6120" w:hanging="360"/>
      </w:pPr>
    </w:lvl>
    <w:lvl w:ilvl="8" w:tplc="9D901142"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F694189C">
      <w:start w:val="1"/>
      <w:numFmt w:val="decimal"/>
      <w:lvlText w:val="%1."/>
      <w:lvlJc w:val="left"/>
      <w:pPr>
        <w:tabs>
          <w:tab w:val="num" w:pos="360"/>
        </w:tabs>
        <w:ind w:left="360" w:hanging="360"/>
      </w:pPr>
      <w:rPr>
        <w:rFonts w:hint="default"/>
      </w:rPr>
    </w:lvl>
    <w:lvl w:ilvl="1" w:tplc="9878BE62" w:tentative="1">
      <w:start w:val="1"/>
      <w:numFmt w:val="lowerLetter"/>
      <w:lvlText w:val="%2."/>
      <w:lvlJc w:val="left"/>
      <w:pPr>
        <w:ind w:left="1080" w:hanging="360"/>
      </w:pPr>
    </w:lvl>
    <w:lvl w:ilvl="2" w:tplc="56A20AFA" w:tentative="1">
      <w:start w:val="1"/>
      <w:numFmt w:val="lowerRoman"/>
      <w:lvlText w:val="%3."/>
      <w:lvlJc w:val="right"/>
      <w:pPr>
        <w:ind w:left="1800" w:hanging="180"/>
      </w:pPr>
    </w:lvl>
    <w:lvl w:ilvl="3" w:tplc="91421D6C" w:tentative="1">
      <w:start w:val="1"/>
      <w:numFmt w:val="decimal"/>
      <w:lvlText w:val="%4."/>
      <w:lvlJc w:val="left"/>
      <w:pPr>
        <w:ind w:left="2520" w:hanging="360"/>
      </w:pPr>
    </w:lvl>
    <w:lvl w:ilvl="4" w:tplc="276E16D8" w:tentative="1">
      <w:start w:val="1"/>
      <w:numFmt w:val="lowerLetter"/>
      <w:lvlText w:val="%5."/>
      <w:lvlJc w:val="left"/>
      <w:pPr>
        <w:ind w:left="3240" w:hanging="360"/>
      </w:pPr>
    </w:lvl>
    <w:lvl w:ilvl="5" w:tplc="DE74A376" w:tentative="1">
      <w:start w:val="1"/>
      <w:numFmt w:val="lowerRoman"/>
      <w:lvlText w:val="%6."/>
      <w:lvlJc w:val="right"/>
      <w:pPr>
        <w:ind w:left="3960" w:hanging="180"/>
      </w:pPr>
    </w:lvl>
    <w:lvl w:ilvl="6" w:tplc="54FE140C" w:tentative="1">
      <w:start w:val="1"/>
      <w:numFmt w:val="decimal"/>
      <w:lvlText w:val="%7."/>
      <w:lvlJc w:val="left"/>
      <w:pPr>
        <w:ind w:left="4680" w:hanging="360"/>
      </w:pPr>
    </w:lvl>
    <w:lvl w:ilvl="7" w:tplc="665A04A8" w:tentative="1">
      <w:start w:val="1"/>
      <w:numFmt w:val="lowerLetter"/>
      <w:lvlText w:val="%8."/>
      <w:lvlJc w:val="left"/>
      <w:pPr>
        <w:ind w:left="5400" w:hanging="360"/>
      </w:pPr>
    </w:lvl>
    <w:lvl w:ilvl="8" w:tplc="164CE9EA" w:tentative="1">
      <w:start w:val="1"/>
      <w:numFmt w:val="lowerRoman"/>
      <w:lvlText w:val="%9."/>
      <w:lvlJc w:val="right"/>
      <w:pPr>
        <w:ind w:left="6120" w:hanging="180"/>
      </w:pPr>
    </w:lvl>
  </w:abstractNum>
  <w:abstractNum w:abstractNumId="4" w15:restartNumberingAfterBreak="0">
    <w:nsid w:val="1BD74BDF"/>
    <w:multiLevelType w:val="hybridMultilevel"/>
    <w:tmpl w:val="7842F2D2"/>
    <w:lvl w:ilvl="0" w:tplc="07BE85E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072372"/>
    <w:multiLevelType w:val="hybridMultilevel"/>
    <w:tmpl w:val="94FE8146"/>
    <w:lvl w:ilvl="0" w:tplc="B4A6CF92">
      <w:start w:val="1"/>
      <w:numFmt w:val="decimal"/>
      <w:lvlText w:val="%1."/>
      <w:lvlJc w:val="left"/>
      <w:pPr>
        <w:tabs>
          <w:tab w:val="num" w:pos="720"/>
        </w:tabs>
        <w:ind w:left="720" w:hanging="360"/>
      </w:pPr>
      <w:rPr>
        <w:rFonts w:hint="default"/>
      </w:rPr>
    </w:lvl>
    <w:lvl w:ilvl="1" w:tplc="A05440EE" w:tentative="1">
      <w:start w:val="1"/>
      <w:numFmt w:val="lowerLetter"/>
      <w:lvlText w:val="%2."/>
      <w:lvlJc w:val="left"/>
      <w:pPr>
        <w:tabs>
          <w:tab w:val="num" w:pos="1440"/>
        </w:tabs>
        <w:ind w:left="1440" w:hanging="360"/>
      </w:pPr>
    </w:lvl>
    <w:lvl w:ilvl="2" w:tplc="53427CFC" w:tentative="1">
      <w:start w:val="1"/>
      <w:numFmt w:val="lowerRoman"/>
      <w:lvlText w:val="%3."/>
      <w:lvlJc w:val="right"/>
      <w:pPr>
        <w:tabs>
          <w:tab w:val="num" w:pos="2160"/>
        </w:tabs>
        <w:ind w:left="2160" w:hanging="180"/>
      </w:pPr>
    </w:lvl>
    <w:lvl w:ilvl="3" w:tplc="5E60F380" w:tentative="1">
      <w:start w:val="1"/>
      <w:numFmt w:val="decimal"/>
      <w:lvlText w:val="%4."/>
      <w:lvlJc w:val="left"/>
      <w:pPr>
        <w:tabs>
          <w:tab w:val="num" w:pos="2880"/>
        </w:tabs>
        <w:ind w:left="2880" w:hanging="360"/>
      </w:pPr>
    </w:lvl>
    <w:lvl w:ilvl="4" w:tplc="3F7621BC" w:tentative="1">
      <w:start w:val="1"/>
      <w:numFmt w:val="lowerLetter"/>
      <w:lvlText w:val="%5."/>
      <w:lvlJc w:val="left"/>
      <w:pPr>
        <w:tabs>
          <w:tab w:val="num" w:pos="3600"/>
        </w:tabs>
        <w:ind w:left="3600" w:hanging="360"/>
      </w:pPr>
    </w:lvl>
    <w:lvl w:ilvl="5" w:tplc="9B5221A4" w:tentative="1">
      <w:start w:val="1"/>
      <w:numFmt w:val="lowerRoman"/>
      <w:lvlText w:val="%6."/>
      <w:lvlJc w:val="right"/>
      <w:pPr>
        <w:tabs>
          <w:tab w:val="num" w:pos="4320"/>
        </w:tabs>
        <w:ind w:left="4320" w:hanging="180"/>
      </w:pPr>
    </w:lvl>
    <w:lvl w:ilvl="6" w:tplc="EC701C4C" w:tentative="1">
      <w:start w:val="1"/>
      <w:numFmt w:val="decimal"/>
      <w:lvlText w:val="%7."/>
      <w:lvlJc w:val="left"/>
      <w:pPr>
        <w:tabs>
          <w:tab w:val="num" w:pos="5040"/>
        </w:tabs>
        <w:ind w:left="5040" w:hanging="360"/>
      </w:pPr>
    </w:lvl>
    <w:lvl w:ilvl="7" w:tplc="F09653BE" w:tentative="1">
      <w:start w:val="1"/>
      <w:numFmt w:val="lowerLetter"/>
      <w:lvlText w:val="%8."/>
      <w:lvlJc w:val="left"/>
      <w:pPr>
        <w:tabs>
          <w:tab w:val="num" w:pos="5760"/>
        </w:tabs>
        <w:ind w:left="5760" w:hanging="360"/>
      </w:pPr>
    </w:lvl>
    <w:lvl w:ilvl="8" w:tplc="36CCBC08"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C93DEA"/>
    <w:multiLevelType w:val="hybridMultilevel"/>
    <w:tmpl w:val="803602FE"/>
    <w:lvl w:ilvl="0" w:tplc="07BE85E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AA4C44"/>
    <w:multiLevelType w:val="hybridMultilevel"/>
    <w:tmpl w:val="092E92F6"/>
    <w:lvl w:ilvl="0" w:tplc="05AE35D6">
      <w:start w:val="1"/>
      <w:numFmt w:val="decimal"/>
      <w:lvlText w:val="%1."/>
      <w:lvlJc w:val="left"/>
      <w:pPr>
        <w:tabs>
          <w:tab w:val="num" w:pos="720"/>
        </w:tabs>
        <w:ind w:left="720" w:hanging="360"/>
      </w:pPr>
    </w:lvl>
    <w:lvl w:ilvl="1" w:tplc="9DF07FB0" w:tentative="1">
      <w:start w:val="1"/>
      <w:numFmt w:val="lowerLetter"/>
      <w:lvlText w:val="%2."/>
      <w:lvlJc w:val="left"/>
      <w:pPr>
        <w:tabs>
          <w:tab w:val="num" w:pos="1440"/>
        </w:tabs>
        <w:ind w:left="1440" w:hanging="360"/>
      </w:pPr>
    </w:lvl>
    <w:lvl w:ilvl="2" w:tplc="04EE58C0" w:tentative="1">
      <w:start w:val="1"/>
      <w:numFmt w:val="lowerRoman"/>
      <w:lvlText w:val="%3."/>
      <w:lvlJc w:val="right"/>
      <w:pPr>
        <w:tabs>
          <w:tab w:val="num" w:pos="2160"/>
        </w:tabs>
        <w:ind w:left="2160" w:hanging="180"/>
      </w:pPr>
    </w:lvl>
    <w:lvl w:ilvl="3" w:tplc="4FEA4962" w:tentative="1">
      <w:start w:val="1"/>
      <w:numFmt w:val="decimal"/>
      <w:lvlText w:val="%4."/>
      <w:lvlJc w:val="left"/>
      <w:pPr>
        <w:tabs>
          <w:tab w:val="num" w:pos="2880"/>
        </w:tabs>
        <w:ind w:left="2880" w:hanging="360"/>
      </w:pPr>
    </w:lvl>
    <w:lvl w:ilvl="4" w:tplc="942CDF38" w:tentative="1">
      <w:start w:val="1"/>
      <w:numFmt w:val="lowerLetter"/>
      <w:lvlText w:val="%5."/>
      <w:lvlJc w:val="left"/>
      <w:pPr>
        <w:tabs>
          <w:tab w:val="num" w:pos="3600"/>
        </w:tabs>
        <w:ind w:left="3600" w:hanging="360"/>
      </w:pPr>
    </w:lvl>
    <w:lvl w:ilvl="5" w:tplc="E3FCBF38" w:tentative="1">
      <w:start w:val="1"/>
      <w:numFmt w:val="lowerRoman"/>
      <w:lvlText w:val="%6."/>
      <w:lvlJc w:val="right"/>
      <w:pPr>
        <w:tabs>
          <w:tab w:val="num" w:pos="4320"/>
        </w:tabs>
        <w:ind w:left="4320" w:hanging="180"/>
      </w:pPr>
    </w:lvl>
    <w:lvl w:ilvl="6" w:tplc="5A2A687A" w:tentative="1">
      <w:start w:val="1"/>
      <w:numFmt w:val="decimal"/>
      <w:lvlText w:val="%7."/>
      <w:lvlJc w:val="left"/>
      <w:pPr>
        <w:tabs>
          <w:tab w:val="num" w:pos="5040"/>
        </w:tabs>
        <w:ind w:left="5040" w:hanging="360"/>
      </w:pPr>
    </w:lvl>
    <w:lvl w:ilvl="7" w:tplc="AA922178" w:tentative="1">
      <w:start w:val="1"/>
      <w:numFmt w:val="lowerLetter"/>
      <w:lvlText w:val="%8."/>
      <w:lvlJc w:val="left"/>
      <w:pPr>
        <w:tabs>
          <w:tab w:val="num" w:pos="5760"/>
        </w:tabs>
        <w:ind w:left="5760" w:hanging="360"/>
      </w:pPr>
    </w:lvl>
    <w:lvl w:ilvl="8" w:tplc="3E2EBD90" w:tentative="1">
      <w:start w:val="1"/>
      <w:numFmt w:val="lowerRoman"/>
      <w:lvlText w:val="%9."/>
      <w:lvlJc w:val="right"/>
      <w:pPr>
        <w:tabs>
          <w:tab w:val="num" w:pos="6480"/>
        </w:tabs>
        <w:ind w:left="6480" w:hanging="180"/>
      </w:pPr>
    </w:lvl>
  </w:abstractNum>
  <w:abstractNum w:abstractNumId="9" w15:restartNumberingAfterBreak="0">
    <w:nsid w:val="6AFD3C2F"/>
    <w:multiLevelType w:val="hybridMultilevel"/>
    <w:tmpl w:val="70F26946"/>
    <w:lvl w:ilvl="0" w:tplc="07BE85E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6086368"/>
    <w:multiLevelType w:val="hybridMultilevel"/>
    <w:tmpl w:val="556ECF24"/>
    <w:lvl w:ilvl="0" w:tplc="597C5316">
      <w:start w:val="1"/>
      <w:numFmt w:val="decimal"/>
      <w:lvlText w:val="%1."/>
      <w:lvlJc w:val="left"/>
      <w:pPr>
        <w:ind w:left="720" w:hanging="360"/>
      </w:pPr>
      <w:rPr>
        <w:rFonts w:ascii="Arial" w:hAnsi="Arial" w:cs="Arial" w:hint="default"/>
        <w:color w:val="auto"/>
        <w:sz w:val="20"/>
        <w:szCs w:val="20"/>
      </w:rPr>
    </w:lvl>
    <w:lvl w:ilvl="1" w:tplc="F14A5696" w:tentative="1">
      <w:start w:val="1"/>
      <w:numFmt w:val="lowerLetter"/>
      <w:lvlText w:val="%2."/>
      <w:lvlJc w:val="left"/>
      <w:pPr>
        <w:ind w:left="1440" w:hanging="360"/>
      </w:pPr>
    </w:lvl>
    <w:lvl w:ilvl="2" w:tplc="45D43C26" w:tentative="1">
      <w:start w:val="1"/>
      <w:numFmt w:val="lowerRoman"/>
      <w:lvlText w:val="%3."/>
      <w:lvlJc w:val="right"/>
      <w:pPr>
        <w:ind w:left="2160" w:hanging="180"/>
      </w:pPr>
    </w:lvl>
    <w:lvl w:ilvl="3" w:tplc="05E22FF6" w:tentative="1">
      <w:start w:val="1"/>
      <w:numFmt w:val="decimal"/>
      <w:lvlText w:val="%4."/>
      <w:lvlJc w:val="left"/>
      <w:pPr>
        <w:ind w:left="2880" w:hanging="360"/>
      </w:pPr>
    </w:lvl>
    <w:lvl w:ilvl="4" w:tplc="64C8ABF2" w:tentative="1">
      <w:start w:val="1"/>
      <w:numFmt w:val="lowerLetter"/>
      <w:lvlText w:val="%5."/>
      <w:lvlJc w:val="left"/>
      <w:pPr>
        <w:ind w:left="3600" w:hanging="360"/>
      </w:pPr>
    </w:lvl>
    <w:lvl w:ilvl="5" w:tplc="D1961BA2" w:tentative="1">
      <w:start w:val="1"/>
      <w:numFmt w:val="lowerRoman"/>
      <w:lvlText w:val="%6."/>
      <w:lvlJc w:val="right"/>
      <w:pPr>
        <w:ind w:left="4320" w:hanging="180"/>
      </w:pPr>
    </w:lvl>
    <w:lvl w:ilvl="6" w:tplc="5CDCF9EA" w:tentative="1">
      <w:start w:val="1"/>
      <w:numFmt w:val="decimal"/>
      <w:lvlText w:val="%7."/>
      <w:lvlJc w:val="left"/>
      <w:pPr>
        <w:ind w:left="5040" w:hanging="360"/>
      </w:pPr>
    </w:lvl>
    <w:lvl w:ilvl="7" w:tplc="313E6958" w:tentative="1">
      <w:start w:val="1"/>
      <w:numFmt w:val="lowerLetter"/>
      <w:lvlText w:val="%8."/>
      <w:lvlJc w:val="left"/>
      <w:pPr>
        <w:ind w:left="5760" w:hanging="360"/>
      </w:pPr>
    </w:lvl>
    <w:lvl w:ilvl="8" w:tplc="D90C2646"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2"/>
  </w:num>
  <w:num w:numId="5">
    <w:abstractNumId w:val="3"/>
  </w:num>
  <w:num w:numId="6">
    <w:abstractNumId w:val="10"/>
  </w:num>
  <w:num w:numId="7">
    <w:abstractNumId w:val="0"/>
  </w:num>
  <w:num w:numId="8">
    <w:abstractNumId w:val="7"/>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38"/>
    <w:rsid w:val="000063FF"/>
    <w:rsid w:val="000149FD"/>
    <w:rsid w:val="00016778"/>
    <w:rsid w:val="000206AE"/>
    <w:rsid w:val="00023A88"/>
    <w:rsid w:val="000636E1"/>
    <w:rsid w:val="00067989"/>
    <w:rsid w:val="0008352D"/>
    <w:rsid w:val="000A07CE"/>
    <w:rsid w:val="000A2C92"/>
    <w:rsid w:val="000A6F7F"/>
    <w:rsid w:val="000A7238"/>
    <w:rsid w:val="000B0B21"/>
    <w:rsid w:val="000C33FF"/>
    <w:rsid w:val="000D08A9"/>
    <w:rsid w:val="000F3D38"/>
    <w:rsid w:val="00110CBD"/>
    <w:rsid w:val="00113600"/>
    <w:rsid w:val="001357B2"/>
    <w:rsid w:val="00151388"/>
    <w:rsid w:val="00151872"/>
    <w:rsid w:val="00160E5F"/>
    <w:rsid w:val="001A3BA5"/>
    <w:rsid w:val="001A6E2B"/>
    <w:rsid w:val="001F3B21"/>
    <w:rsid w:val="001F7BC0"/>
    <w:rsid w:val="00202A77"/>
    <w:rsid w:val="00232E47"/>
    <w:rsid w:val="00261D99"/>
    <w:rsid w:val="00262960"/>
    <w:rsid w:val="00271CE5"/>
    <w:rsid w:val="00282020"/>
    <w:rsid w:val="00285890"/>
    <w:rsid w:val="002934F1"/>
    <w:rsid w:val="00296D93"/>
    <w:rsid w:val="002A4B44"/>
    <w:rsid w:val="002B3C5B"/>
    <w:rsid w:val="002C7EEB"/>
    <w:rsid w:val="002F1EA9"/>
    <w:rsid w:val="00304726"/>
    <w:rsid w:val="00315D82"/>
    <w:rsid w:val="003378A4"/>
    <w:rsid w:val="00352109"/>
    <w:rsid w:val="003636BF"/>
    <w:rsid w:val="00370AA7"/>
    <w:rsid w:val="00371034"/>
    <w:rsid w:val="0037479F"/>
    <w:rsid w:val="00377950"/>
    <w:rsid w:val="003828AD"/>
    <w:rsid w:val="003845B4"/>
    <w:rsid w:val="00387B1A"/>
    <w:rsid w:val="00394041"/>
    <w:rsid w:val="003B5CF4"/>
    <w:rsid w:val="003C3B1D"/>
    <w:rsid w:val="003D0306"/>
    <w:rsid w:val="003D11FC"/>
    <w:rsid w:val="003E1C74"/>
    <w:rsid w:val="003E7E9E"/>
    <w:rsid w:val="003F4966"/>
    <w:rsid w:val="004056DF"/>
    <w:rsid w:val="0042623D"/>
    <w:rsid w:val="00484A06"/>
    <w:rsid w:val="004A2490"/>
    <w:rsid w:val="004A4233"/>
    <w:rsid w:val="004A6A59"/>
    <w:rsid w:val="004B160E"/>
    <w:rsid w:val="004C06BD"/>
    <w:rsid w:val="005149DF"/>
    <w:rsid w:val="00525C18"/>
    <w:rsid w:val="00526246"/>
    <w:rsid w:val="00526FFE"/>
    <w:rsid w:val="00567106"/>
    <w:rsid w:val="005709F2"/>
    <w:rsid w:val="00587D2B"/>
    <w:rsid w:val="005916E5"/>
    <w:rsid w:val="005B0438"/>
    <w:rsid w:val="005C35A4"/>
    <w:rsid w:val="005D0CDF"/>
    <w:rsid w:val="005E1D3C"/>
    <w:rsid w:val="006268BE"/>
    <w:rsid w:val="00632253"/>
    <w:rsid w:val="00642714"/>
    <w:rsid w:val="00643C4E"/>
    <w:rsid w:val="006455CE"/>
    <w:rsid w:val="006510FE"/>
    <w:rsid w:val="006D42D9"/>
    <w:rsid w:val="006F142E"/>
    <w:rsid w:val="006F3FCA"/>
    <w:rsid w:val="00723AC5"/>
    <w:rsid w:val="00726463"/>
    <w:rsid w:val="007264EC"/>
    <w:rsid w:val="00733017"/>
    <w:rsid w:val="00741718"/>
    <w:rsid w:val="00751D38"/>
    <w:rsid w:val="00775FED"/>
    <w:rsid w:val="00783310"/>
    <w:rsid w:val="00783756"/>
    <w:rsid w:val="00794E63"/>
    <w:rsid w:val="007A4A6D"/>
    <w:rsid w:val="007D1BCF"/>
    <w:rsid w:val="007D5EA7"/>
    <w:rsid w:val="007D75CF"/>
    <w:rsid w:val="007E6DC5"/>
    <w:rsid w:val="008402EA"/>
    <w:rsid w:val="00850CCF"/>
    <w:rsid w:val="0088043C"/>
    <w:rsid w:val="008906C9"/>
    <w:rsid w:val="008A5918"/>
    <w:rsid w:val="008B2E72"/>
    <w:rsid w:val="008C00F2"/>
    <w:rsid w:val="008C5738"/>
    <w:rsid w:val="008D04F0"/>
    <w:rsid w:val="008F3500"/>
    <w:rsid w:val="009022B3"/>
    <w:rsid w:val="00924E3C"/>
    <w:rsid w:val="00925A8B"/>
    <w:rsid w:val="009612BB"/>
    <w:rsid w:val="009A4FC2"/>
    <w:rsid w:val="009B0295"/>
    <w:rsid w:val="009C5340"/>
    <w:rsid w:val="009E42F2"/>
    <w:rsid w:val="00A05DC7"/>
    <w:rsid w:val="00A125C5"/>
    <w:rsid w:val="00A12D5C"/>
    <w:rsid w:val="00A216AF"/>
    <w:rsid w:val="00A3267F"/>
    <w:rsid w:val="00A36906"/>
    <w:rsid w:val="00A45EAF"/>
    <w:rsid w:val="00A5039D"/>
    <w:rsid w:val="00A56D63"/>
    <w:rsid w:val="00A65EE7"/>
    <w:rsid w:val="00A70133"/>
    <w:rsid w:val="00A72510"/>
    <w:rsid w:val="00AA47FE"/>
    <w:rsid w:val="00AB3155"/>
    <w:rsid w:val="00AC5C16"/>
    <w:rsid w:val="00AD5A5B"/>
    <w:rsid w:val="00AE1792"/>
    <w:rsid w:val="00AF0C09"/>
    <w:rsid w:val="00B011EA"/>
    <w:rsid w:val="00B17141"/>
    <w:rsid w:val="00B31575"/>
    <w:rsid w:val="00B61979"/>
    <w:rsid w:val="00B63BD4"/>
    <w:rsid w:val="00B653A6"/>
    <w:rsid w:val="00B677B6"/>
    <w:rsid w:val="00B8547D"/>
    <w:rsid w:val="00B9298D"/>
    <w:rsid w:val="00BC1C04"/>
    <w:rsid w:val="00BC2517"/>
    <w:rsid w:val="00BC61EF"/>
    <w:rsid w:val="00BE423F"/>
    <w:rsid w:val="00C250D5"/>
    <w:rsid w:val="00C47F8D"/>
    <w:rsid w:val="00C52DAE"/>
    <w:rsid w:val="00C57EED"/>
    <w:rsid w:val="00C81391"/>
    <w:rsid w:val="00C92898"/>
    <w:rsid w:val="00C968C6"/>
    <w:rsid w:val="00C97222"/>
    <w:rsid w:val="00CE7514"/>
    <w:rsid w:val="00D248DE"/>
    <w:rsid w:val="00D25427"/>
    <w:rsid w:val="00D31B74"/>
    <w:rsid w:val="00D3564D"/>
    <w:rsid w:val="00D5268A"/>
    <w:rsid w:val="00D8542D"/>
    <w:rsid w:val="00D9259C"/>
    <w:rsid w:val="00DB11E1"/>
    <w:rsid w:val="00DC62F6"/>
    <w:rsid w:val="00DC6A71"/>
    <w:rsid w:val="00DD6CC3"/>
    <w:rsid w:val="00DE5B46"/>
    <w:rsid w:val="00E01303"/>
    <w:rsid w:val="00E0357D"/>
    <w:rsid w:val="00E0695F"/>
    <w:rsid w:val="00E24EC2"/>
    <w:rsid w:val="00E51C0F"/>
    <w:rsid w:val="00E67896"/>
    <w:rsid w:val="00E8201C"/>
    <w:rsid w:val="00EC5438"/>
    <w:rsid w:val="00ED00D1"/>
    <w:rsid w:val="00ED7E82"/>
    <w:rsid w:val="00EF3280"/>
    <w:rsid w:val="00EF694E"/>
    <w:rsid w:val="00F0025B"/>
    <w:rsid w:val="00F02E53"/>
    <w:rsid w:val="00F240BB"/>
    <w:rsid w:val="00F42CE8"/>
    <w:rsid w:val="00F46724"/>
    <w:rsid w:val="00F47F58"/>
    <w:rsid w:val="00F57FED"/>
    <w:rsid w:val="00F8765D"/>
    <w:rsid w:val="00F907E8"/>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4FF0F8"/>
  <w15:docId w15:val="{956F6708-99F3-49EB-86D9-92A6EF4E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paragraph" w:styleId="Odstavekseznama">
    <w:name w:val="List Paragraph"/>
    <w:basedOn w:val="Navaden"/>
    <w:uiPriority w:val="34"/>
    <w:qFormat/>
    <w:rsid w:val="00F8765D"/>
    <w:pPr>
      <w:spacing w:after="160" w:line="259" w:lineRule="auto"/>
      <w:ind w:left="720"/>
      <w:contextualSpacing/>
    </w:pPr>
    <w:rPr>
      <w:rFonts w:asciiTheme="minorHAnsi" w:eastAsiaTheme="minorHAnsi" w:hAnsiTheme="minorHAnsi" w:cstheme="minorBidi"/>
      <w:sz w:val="22"/>
      <w:szCs w:val="22"/>
      <w:lang w:val="sl-SI"/>
    </w:rPr>
  </w:style>
  <w:style w:type="character" w:styleId="SledenaHiperpovezava">
    <w:name w:val="FollowedHyperlink"/>
    <w:basedOn w:val="Privzetapisavaodstavka"/>
    <w:semiHidden/>
    <w:unhideWhenUsed/>
    <w:rsid w:val="006F3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5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novice/2020-03-13-nujno-obvestilo-glede-poslovanja-uradov-financne-uprave-r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avki.durs.si/edavkiportal/openportal/CommonPages/Opdynp/PageD.aspx?category=samoprijava_p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gov.si/kontakt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u.gov.si/davki_in_druge_dajatve/poslovanje_z_nami/e_davki/mobilna_aplikacija_edavki/" TargetMode="External"/><Relationship Id="rId4" Type="http://schemas.openxmlformats.org/officeDocument/2006/relationships/settings" Target="settings.xml"/><Relationship Id="rId9" Type="http://schemas.openxmlformats.org/officeDocument/2006/relationships/hyperlink" Target="https://edavki.durs.si/EdavkiPortal/OpenPortal/CommonPages/Opdynp/PageD.aspx?category=vrocanje_fo"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701BF-2F9F-4D66-9529-A08310C6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931</TotalTime>
  <Pages>1</Pages>
  <Words>2321</Words>
  <Characters>13236</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15526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Tomaž Lavrič</dc:creator>
  <cp:keywords/>
  <dc:description/>
  <cp:lastModifiedBy>Mateja Stopar</cp:lastModifiedBy>
  <cp:revision>8</cp:revision>
  <cp:lastPrinted>2010-07-05T10:38:00Z</cp:lastPrinted>
  <dcterms:created xsi:type="dcterms:W3CDTF">2020-04-23T11:46:00Z</dcterms:created>
  <dcterms:modified xsi:type="dcterms:W3CDTF">2020-05-04T09:50:00Z</dcterms:modified>
</cp:coreProperties>
</file>